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B8" w:rsidRPr="006251B8" w:rsidRDefault="006251B8" w:rsidP="006251B8">
      <w:pPr>
        <w:pStyle w:val="berschrift2"/>
        <w:numPr>
          <w:ilvl w:val="0"/>
          <w:numId w:val="0"/>
        </w:numPr>
        <w:ind w:left="851" w:hanging="851"/>
        <w:rPr>
          <w:rFonts w:ascii="Arial" w:hAnsi="Arial" w:cs="Arial"/>
        </w:rPr>
      </w:pPr>
      <w:bookmarkStart w:id="0" w:name="_Ref412420360"/>
      <w:bookmarkStart w:id="1" w:name="_Ref412420403"/>
      <w:bookmarkStart w:id="2" w:name="_Toc412802124"/>
      <w:r w:rsidRPr="006251B8">
        <w:rPr>
          <w:rFonts w:ascii="Arial" w:hAnsi="Arial" w:cs="Arial"/>
        </w:rPr>
        <w:t>Risikokatalog</w:t>
      </w:r>
      <w:bookmarkEnd w:id="0"/>
      <w:bookmarkEnd w:id="1"/>
      <w:bookmarkEnd w:id="2"/>
    </w:p>
    <w:p w:rsidR="006251B8" w:rsidRPr="003E4843" w:rsidRDefault="006251B8" w:rsidP="006251B8">
      <w:pPr>
        <w:rPr>
          <w:rFonts w:ascii="Arial" w:hAnsi="Arial" w:cs="Arial"/>
          <w:sz w:val="22"/>
        </w:rPr>
      </w:pPr>
      <w:r w:rsidRPr="003E4843">
        <w:rPr>
          <w:rFonts w:ascii="Arial" w:hAnsi="Arial" w:cs="Arial"/>
          <w:sz w:val="22"/>
        </w:rPr>
        <w:t xml:space="preserve">Gemeinden müssen aus einer Vielzahl von Risiken diejenigen identifizieren, welche ihre strategischen und operativen Ziele beeinflussen können. Der nachfolgende Risikokatalog kann diese Auswahl unterstützen. Allerdings ist dieser Risikokatalog keinesfalls abschliessend, sondern bietet lediglich eine Anregung für die Risikoidentifikation in der Gemeinde. </w:t>
      </w:r>
    </w:p>
    <w:p w:rsidR="006251B8" w:rsidRPr="006251B8" w:rsidRDefault="006251B8" w:rsidP="006251B8">
      <w:pPr>
        <w:rPr>
          <w:rFonts w:ascii="Arial" w:hAnsi="Arial" w:cs="Arial"/>
        </w:rPr>
      </w:pPr>
    </w:p>
    <w:tbl>
      <w:tblPr>
        <w:tblStyle w:val="HelleListe-Akzent3"/>
        <w:tblW w:w="86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6518"/>
        <w:gridCol w:w="6"/>
        <w:gridCol w:w="128"/>
      </w:tblGrid>
      <w:tr w:rsidR="00D1715E" w:rsidRPr="00D1715E" w:rsidTr="003E4843">
        <w:trPr>
          <w:gridAfter w:val="1"/>
          <w:cnfStyle w:val="100000000000" w:firstRow="1" w:lastRow="0" w:firstColumn="0" w:lastColumn="0" w:oddVBand="0" w:evenVBand="0" w:oddHBand="0" w:evenHBand="0" w:firstRowFirstColumn="0" w:firstRowLastColumn="0" w:lastRowFirstColumn="0" w:lastRowLastColumn="0"/>
          <w:wAfter w:w="128" w:type="dxa"/>
          <w:cantSplit/>
          <w:tblHeader/>
          <w:jc w:val="center"/>
        </w:trPr>
        <w:tc>
          <w:tcPr>
            <w:cnfStyle w:val="001000000000" w:firstRow="0" w:lastRow="0" w:firstColumn="1" w:lastColumn="0" w:oddVBand="0" w:evenVBand="0" w:oddHBand="0" w:evenHBand="0" w:firstRowFirstColumn="0" w:firstRowLastColumn="0" w:lastRowFirstColumn="0" w:lastRowLastColumn="0"/>
            <w:tcW w:w="8499" w:type="dxa"/>
            <w:gridSpan w:val="3"/>
            <w:shd w:val="clear" w:color="auto" w:fill="BFBFBF" w:themeFill="background1" w:themeFillShade="BF"/>
          </w:tcPr>
          <w:p w:rsidR="006251B8" w:rsidRPr="00D1715E" w:rsidRDefault="006251B8" w:rsidP="00980863">
            <w:pPr>
              <w:spacing w:before="60" w:after="60"/>
              <w:jc w:val="left"/>
              <w:rPr>
                <w:rFonts w:ascii="Arial" w:hAnsi="Arial"/>
                <w:bCs w:val="0"/>
                <w:color w:val="auto"/>
              </w:rPr>
            </w:pPr>
            <w:r w:rsidRPr="00D1715E">
              <w:rPr>
                <w:rFonts w:ascii="Arial" w:hAnsi="Arial"/>
                <w:bCs w:val="0"/>
                <w:color w:val="auto"/>
              </w:rPr>
              <w:t>Ges</w:t>
            </w:r>
            <w:bookmarkStart w:id="3" w:name="_GoBack"/>
            <w:bookmarkEnd w:id="3"/>
            <w:r w:rsidRPr="00D1715E">
              <w:rPr>
                <w:rFonts w:ascii="Arial" w:hAnsi="Arial"/>
                <w:bCs w:val="0"/>
                <w:color w:val="auto"/>
              </w:rPr>
              <w:t>ellschaftliche und politische Risiken</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D1715E" w:rsidRDefault="006251B8" w:rsidP="00980863">
            <w:pPr>
              <w:spacing w:before="60" w:after="60"/>
              <w:jc w:val="left"/>
              <w:rPr>
                <w:rFonts w:ascii="Arial" w:hAnsi="Arial"/>
                <w:bCs w:val="0"/>
              </w:rPr>
            </w:pPr>
            <w:r w:rsidRPr="00D1715E">
              <w:rPr>
                <w:rFonts w:ascii="Arial" w:hAnsi="Arial"/>
                <w:bCs w:val="0"/>
              </w:rPr>
              <w:t>Gesellschaft</w:t>
            </w:r>
          </w:p>
        </w:tc>
        <w:tc>
          <w:tcPr>
            <w:tcW w:w="6524" w:type="dxa"/>
            <w:gridSpan w:val="2"/>
            <w:tcBorders>
              <w:top w:val="none" w:sz="0" w:space="0" w:color="auto"/>
              <w:bottom w:val="none" w:sz="0" w:space="0" w:color="auto"/>
              <w:right w:val="none" w:sz="0" w:space="0" w:color="auto"/>
            </w:tcBorders>
          </w:tcPr>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Gesellschaftlicher und kultureller Wandel</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Zu geringe Kulturförderung und kulturelle Vielfalt</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Religiöse Auseinandersetzungen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Veränderung der sozialen und moralischen Wahrnehmung</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Fehlendes Engagement (z.</w:t>
            </w:r>
            <w:r w:rsidRPr="00D1715E">
              <w:rPr>
                <w:rFonts w:ascii="Arial" w:eastAsia="Calibri" w:hAnsi="Arial"/>
                <w:w w:val="50"/>
              </w:rPr>
              <w:t> </w:t>
            </w:r>
            <w:r w:rsidRPr="00D1715E">
              <w:rPr>
                <w:rFonts w:ascii="Arial" w:eastAsia="Calibri" w:hAnsi="Arial"/>
              </w:rPr>
              <w:t>B. Vereinswesen)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Ungenügende Sportmöglichkeiten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Epidemien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Bevölkerungsschwund</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Bevölkerungswachstum</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Demographische Alterung</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Unausgeglichene Entwicklung der Bevölkerungsstruktur</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Soziales Ungleichgewicht</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Veränderung der Haushaltstruktur (Einpersonenhaushalte)</w:t>
            </w:r>
          </w:p>
        </w:tc>
      </w:tr>
      <w:tr w:rsidR="00D1715E" w:rsidRPr="00D1715E" w:rsidTr="003E4843">
        <w:trPr>
          <w:gridAfter w:val="1"/>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980863">
            <w:pPr>
              <w:spacing w:before="60" w:after="60"/>
              <w:jc w:val="left"/>
              <w:rPr>
                <w:rFonts w:ascii="Arial" w:hAnsi="Arial"/>
                <w:bCs w:val="0"/>
              </w:rPr>
            </w:pPr>
            <w:r w:rsidRPr="00D1715E">
              <w:rPr>
                <w:rFonts w:ascii="Arial" w:hAnsi="Arial"/>
                <w:bCs w:val="0"/>
              </w:rPr>
              <w:t>Soziales</w:t>
            </w:r>
          </w:p>
        </w:tc>
        <w:tc>
          <w:tcPr>
            <w:tcW w:w="6524" w:type="dxa"/>
            <w:gridSpan w:val="2"/>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Einflussmöglichkeit der Gemeinde beim System des Soziallastenausgleichs</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Steigende Kosten und deren Finanzierung im Sozialbereich</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Fehlende Kontrollmechanismen</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D1715E" w:rsidRDefault="006251B8" w:rsidP="00980863">
            <w:pPr>
              <w:spacing w:before="60" w:after="60"/>
              <w:jc w:val="left"/>
              <w:rPr>
                <w:rFonts w:ascii="Arial" w:hAnsi="Arial"/>
                <w:bCs w:val="0"/>
              </w:rPr>
            </w:pPr>
            <w:r w:rsidRPr="00D1715E">
              <w:rPr>
                <w:rFonts w:ascii="Arial" w:hAnsi="Arial"/>
                <w:bCs w:val="0"/>
              </w:rPr>
              <w:t>Ausländer- und Asylwesen</w:t>
            </w:r>
          </w:p>
        </w:tc>
        <w:tc>
          <w:tcPr>
            <w:tcW w:w="6524" w:type="dxa"/>
            <w:gridSpan w:val="2"/>
            <w:tcBorders>
              <w:top w:val="none" w:sz="0" w:space="0" w:color="auto"/>
              <w:bottom w:val="none" w:sz="0" w:space="0" w:color="auto"/>
              <w:right w:val="none" w:sz="0" w:space="0" w:color="auto"/>
            </w:tcBorders>
          </w:tcPr>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Steigende Ersatzabgaben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Über- bzw. Unterbelegung der Einrichtungen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Fehlende Sicherheit</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Akzeptanz in der Bevölkerung</w:t>
            </w:r>
          </w:p>
        </w:tc>
      </w:tr>
      <w:tr w:rsidR="00D1715E" w:rsidRPr="00D1715E" w:rsidTr="003E4843">
        <w:trPr>
          <w:gridAfter w:val="1"/>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980863">
            <w:pPr>
              <w:spacing w:before="60" w:after="60"/>
              <w:jc w:val="left"/>
              <w:rPr>
                <w:rFonts w:ascii="Arial" w:hAnsi="Arial"/>
                <w:bCs w:val="0"/>
              </w:rPr>
            </w:pPr>
            <w:r w:rsidRPr="00D1715E">
              <w:rPr>
                <w:rFonts w:ascii="Arial" w:hAnsi="Arial"/>
                <w:bCs w:val="0"/>
              </w:rPr>
              <w:t>Schulwesen</w:t>
            </w:r>
          </w:p>
        </w:tc>
        <w:tc>
          <w:tcPr>
            <w:tcW w:w="6524" w:type="dxa"/>
            <w:gridSpan w:val="2"/>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Ungenügende Finanzierung und Qualität der Lehre</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Mangelnde Sicherheit und Gesundheit der Mitarbeitenden und Schüler</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D1715E" w:rsidRDefault="006251B8" w:rsidP="00980863">
            <w:pPr>
              <w:spacing w:before="60" w:after="60"/>
              <w:jc w:val="left"/>
              <w:rPr>
                <w:rFonts w:ascii="Arial" w:hAnsi="Arial"/>
                <w:bCs w:val="0"/>
              </w:rPr>
            </w:pPr>
            <w:r w:rsidRPr="00D1715E">
              <w:rPr>
                <w:rFonts w:ascii="Arial" w:hAnsi="Arial"/>
                <w:bCs w:val="0"/>
              </w:rPr>
              <w:t>Bau</w:t>
            </w:r>
          </w:p>
        </w:tc>
        <w:tc>
          <w:tcPr>
            <w:tcW w:w="6524" w:type="dxa"/>
            <w:gridSpan w:val="2"/>
            <w:tcBorders>
              <w:top w:val="none" w:sz="0" w:space="0" w:color="auto"/>
              <w:bottom w:val="none" w:sz="0" w:space="0" w:color="auto"/>
              <w:right w:val="none" w:sz="0" w:space="0" w:color="auto"/>
            </w:tcBorders>
          </w:tcPr>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Neue kantonale Vorgaben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Ungenügende Planungssicherheit (Garantiefälle, Baufehler, Einsprachen usw.)</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Planungsgerechtigkeit nicht gegeben (z.</w:t>
            </w:r>
            <w:r w:rsidRPr="00D1715E">
              <w:rPr>
                <w:rFonts w:ascii="Arial" w:eastAsia="Calibri" w:hAnsi="Arial"/>
                <w:w w:val="50"/>
              </w:rPr>
              <w:t> </w:t>
            </w:r>
            <w:r w:rsidRPr="00D1715E">
              <w:rPr>
                <w:rFonts w:ascii="Arial" w:eastAsia="Calibri" w:hAnsi="Arial"/>
              </w:rPr>
              <w:t>B. wegen mangelnder Unabhängigkeit bei der Einhaltung von Bauvorhaben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Mangelnde Raum- bzw. Nutzungsplanung</w:t>
            </w:r>
          </w:p>
        </w:tc>
      </w:tr>
      <w:tr w:rsidR="00D1715E" w:rsidRPr="00D1715E" w:rsidTr="003E4843">
        <w:trPr>
          <w:gridAfter w:val="1"/>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980863">
            <w:pPr>
              <w:spacing w:before="60" w:after="60"/>
              <w:jc w:val="left"/>
              <w:rPr>
                <w:rFonts w:ascii="Arial" w:hAnsi="Arial"/>
                <w:bCs w:val="0"/>
              </w:rPr>
            </w:pPr>
            <w:r w:rsidRPr="00D1715E">
              <w:rPr>
                <w:rFonts w:ascii="Arial" w:hAnsi="Arial"/>
                <w:bCs w:val="0"/>
              </w:rPr>
              <w:t>Polizei- und Rettungswesen</w:t>
            </w:r>
          </w:p>
        </w:tc>
        <w:tc>
          <w:tcPr>
            <w:tcW w:w="6524" w:type="dxa"/>
            <w:gridSpan w:val="2"/>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Unvollständige Planung bzw. Koordination von Einsätzen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Fehlende Ressourcen/Ausbildung/Ausstattung</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Gefährdung der öffentlichen Sicherheit durch mangelnde Prävention</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D1715E" w:rsidRDefault="006251B8" w:rsidP="00980863">
            <w:pPr>
              <w:spacing w:before="60" w:after="60"/>
              <w:jc w:val="left"/>
              <w:rPr>
                <w:rFonts w:ascii="Arial" w:hAnsi="Arial"/>
                <w:bCs w:val="0"/>
              </w:rPr>
            </w:pPr>
            <w:r w:rsidRPr="00D1715E">
              <w:rPr>
                <w:rFonts w:ascii="Arial" w:hAnsi="Arial"/>
                <w:bCs w:val="0"/>
              </w:rPr>
              <w:t>Spital- und Pflegewesen</w:t>
            </w:r>
          </w:p>
        </w:tc>
        <w:tc>
          <w:tcPr>
            <w:tcW w:w="6524" w:type="dxa"/>
            <w:gridSpan w:val="2"/>
            <w:tcBorders>
              <w:top w:val="none" w:sz="0" w:space="0" w:color="auto"/>
              <w:bottom w:val="none" w:sz="0" w:space="0" w:color="auto"/>
              <w:right w:val="none" w:sz="0" w:space="0" w:color="auto"/>
            </w:tcBorders>
          </w:tcPr>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Kantonale Restriktionen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Qualität und Sicherheit der medizinischen Betreuung</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Fehlende Ressourcen/Ausbildung/Ausstattung</w:t>
            </w:r>
          </w:p>
        </w:tc>
      </w:tr>
      <w:tr w:rsidR="00D1715E" w:rsidRPr="00D1715E" w:rsidTr="003E4843">
        <w:trPr>
          <w:gridAfter w:val="1"/>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980863">
            <w:pPr>
              <w:spacing w:before="60" w:after="60"/>
              <w:jc w:val="left"/>
              <w:rPr>
                <w:rFonts w:ascii="Arial" w:hAnsi="Arial"/>
                <w:bCs w:val="0"/>
              </w:rPr>
            </w:pPr>
            <w:r w:rsidRPr="00D1715E">
              <w:rPr>
                <w:rFonts w:ascii="Arial" w:hAnsi="Arial"/>
                <w:bCs w:val="0"/>
              </w:rPr>
              <w:lastRenderedPageBreak/>
              <w:t>Politik</w:t>
            </w:r>
          </w:p>
        </w:tc>
        <w:tc>
          <w:tcPr>
            <w:tcW w:w="6524" w:type="dxa"/>
            <w:gridSpan w:val="2"/>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Inkonsistente politische Entscheide</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Schwierige Nachfolgeregelung der Exekutive</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Schwierigkeiten bei der Besetzung von Behörden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Politische Machtkämpfe</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 xml:space="preserve">Mangelnde Erreichung der </w:t>
            </w:r>
            <w:proofErr w:type="spellStart"/>
            <w:r w:rsidRPr="00D1715E">
              <w:rPr>
                <w:rFonts w:ascii="Arial" w:eastAsia="Calibri" w:hAnsi="Arial"/>
              </w:rPr>
              <w:t>Legislaturziele</w:t>
            </w:r>
            <w:proofErr w:type="spellEnd"/>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Grundsätze, die nicht befolgt werden (z.</w:t>
            </w:r>
            <w:r w:rsidRPr="00D1715E">
              <w:rPr>
                <w:rFonts w:ascii="Arial" w:eastAsia="Calibri" w:hAnsi="Arial"/>
                <w:w w:val="50"/>
              </w:rPr>
              <w:t> </w:t>
            </w:r>
            <w:r w:rsidRPr="00D1715E">
              <w:rPr>
                <w:rFonts w:ascii="Arial" w:eastAsia="Calibri" w:hAnsi="Arial"/>
              </w:rPr>
              <w:t>B. Leitbild, das nicht gelebt wird)</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Aufteilung von Kompetenzen, Verantwortlichkeiten und Kontrollen in der Zusammenarbeit mit anderen Körperschaften (Gemeinden, Kantone, Bund usw.)</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Mangelnde Kommunikation mit Behörden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Negative Wahrnehmung in der Öffentlichkeit</w:t>
            </w:r>
            <w:r w:rsidRPr="00D1715E">
              <w:rPr>
                <w:rFonts w:ascii="Arial" w:eastAsia="Calibri" w:hAnsi="Arial"/>
              </w:rPr>
              <w:br/>
              <w:t>(Reputation)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Druck zu Fusionen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Zunehmender Standortwettbewerb</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Zersiedelung</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Nicht nachhaltige Standortentwicklung</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tblHeader/>
          <w:jc w:val="center"/>
        </w:trPr>
        <w:tc>
          <w:tcPr>
            <w:cnfStyle w:val="001000000000" w:firstRow="0" w:lastRow="0" w:firstColumn="1" w:lastColumn="0" w:oddVBand="0" w:evenVBand="0" w:oddHBand="0" w:evenHBand="0" w:firstRowFirstColumn="0" w:firstRowLastColumn="0" w:lastRowFirstColumn="0" w:lastRowLastColumn="0"/>
            <w:tcW w:w="8499"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tcPr>
          <w:p w:rsidR="006251B8" w:rsidRPr="00D1715E" w:rsidRDefault="006251B8" w:rsidP="00980863">
            <w:pPr>
              <w:spacing w:before="60" w:after="60"/>
              <w:jc w:val="left"/>
              <w:rPr>
                <w:rFonts w:ascii="Arial" w:hAnsi="Arial"/>
                <w:bCs w:val="0"/>
              </w:rPr>
            </w:pPr>
            <w:r w:rsidRPr="00D1715E">
              <w:rPr>
                <w:rFonts w:ascii="Arial" w:hAnsi="Arial"/>
                <w:bCs w:val="0"/>
              </w:rPr>
              <w:t>Rechtliche Risiken/Compliance</w:t>
            </w:r>
          </w:p>
        </w:tc>
      </w:tr>
      <w:tr w:rsidR="00D1715E" w:rsidRPr="00D1715E" w:rsidTr="003E4843">
        <w:trPr>
          <w:gridAfter w:val="1"/>
          <w:wAfter w:w="12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6251B8">
            <w:pPr>
              <w:spacing w:before="60" w:after="60"/>
              <w:contextualSpacing/>
              <w:jc w:val="left"/>
              <w:rPr>
                <w:rFonts w:ascii="Arial" w:eastAsia="Calibri" w:hAnsi="Arial"/>
                <w:bCs w:val="0"/>
              </w:rPr>
            </w:pPr>
            <w:r w:rsidRPr="00D1715E">
              <w:rPr>
                <w:rFonts w:ascii="Arial" w:eastAsia="Calibri" w:hAnsi="Arial"/>
                <w:bCs w:val="0"/>
              </w:rPr>
              <w:t>Recht / Compliance</w:t>
            </w:r>
          </w:p>
        </w:tc>
        <w:tc>
          <w:tcPr>
            <w:tcW w:w="6524" w:type="dxa"/>
            <w:gridSpan w:val="2"/>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Regulatorische Änderungen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Verstoss gegen Rechtsgrundlagen (Steuerrecht, Schadenersatzforderungen bei Verzug, Kinder- und Erwachsenenschutz usw.)</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 xml:space="preserve">Haftungsrisiken </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Fehlende rechtliche Grundlagen (z.</w:t>
            </w:r>
            <w:r w:rsidRPr="00D1715E">
              <w:rPr>
                <w:rFonts w:ascii="Arial" w:eastAsia="Calibri" w:hAnsi="Arial"/>
                <w:w w:val="50"/>
              </w:rPr>
              <w:t> </w:t>
            </w:r>
            <w:r w:rsidRPr="00D1715E">
              <w:rPr>
                <w:rFonts w:ascii="Arial" w:eastAsia="Calibri" w:hAnsi="Arial"/>
              </w:rPr>
              <w:t>B. bei der Einführung von Risikomanagement und IKS)</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Ungenügender Datenschutz</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b/>
              </w:rPr>
            </w:pPr>
            <w:r w:rsidRPr="00D1715E">
              <w:rPr>
                <w:rFonts w:ascii="Arial" w:eastAsia="Calibri" w:hAnsi="Arial"/>
              </w:rPr>
              <w:t>Nicht bewirtschaftete, unvollständige oder nicht aktuelle Verträge und Lizenzen</w:t>
            </w:r>
          </w:p>
        </w:tc>
      </w:tr>
      <w:tr w:rsidR="00D1715E" w:rsidRPr="00D1715E" w:rsidTr="003E4843">
        <w:trPr>
          <w:gridAfter w:val="1"/>
          <w:cnfStyle w:val="000000100000" w:firstRow="0" w:lastRow="0" w:firstColumn="0" w:lastColumn="0" w:oddVBand="0" w:evenVBand="0" w:oddHBand="1" w:evenHBand="0" w:firstRowFirstColumn="0" w:firstRowLastColumn="0" w:lastRowFirstColumn="0" w:lastRowLastColumn="0"/>
          <w:wAfter w:w="128" w:type="dxa"/>
          <w:cantSplit/>
          <w:tblHeader/>
          <w:jc w:val="center"/>
        </w:trPr>
        <w:tc>
          <w:tcPr>
            <w:cnfStyle w:val="001000000000" w:firstRow="0" w:lastRow="0" w:firstColumn="1" w:lastColumn="0" w:oddVBand="0" w:evenVBand="0" w:oddHBand="0" w:evenHBand="0" w:firstRowFirstColumn="0" w:firstRowLastColumn="0" w:lastRowFirstColumn="0" w:lastRowLastColumn="0"/>
            <w:tcW w:w="8499" w:type="dxa"/>
            <w:gridSpan w:val="3"/>
            <w:tcBorders>
              <w:top w:val="none" w:sz="0" w:space="0" w:color="auto"/>
              <w:left w:val="none" w:sz="0" w:space="0" w:color="auto"/>
              <w:bottom w:val="none" w:sz="0" w:space="0" w:color="auto"/>
              <w:right w:val="none" w:sz="0" w:space="0" w:color="auto"/>
            </w:tcBorders>
            <w:shd w:val="clear" w:color="auto" w:fill="BFBFBF" w:themeFill="background1" w:themeFillShade="BF"/>
          </w:tcPr>
          <w:p w:rsidR="006251B8" w:rsidRPr="00D1715E" w:rsidRDefault="006251B8" w:rsidP="00980863">
            <w:pPr>
              <w:spacing w:before="60" w:after="60"/>
              <w:jc w:val="left"/>
              <w:rPr>
                <w:rFonts w:ascii="Arial" w:hAnsi="Arial"/>
                <w:bCs w:val="0"/>
              </w:rPr>
            </w:pPr>
            <w:r w:rsidRPr="00D1715E">
              <w:rPr>
                <w:rFonts w:ascii="Arial" w:hAnsi="Arial"/>
              </w:rPr>
              <w:t>Personenbezogene und organisatorische Risiken</w:t>
            </w:r>
          </w:p>
        </w:tc>
      </w:tr>
      <w:tr w:rsidR="00D1715E" w:rsidRPr="00D1715E" w:rsidTr="003E4843">
        <w:trPr>
          <w:gridAfter w:val="2"/>
          <w:wAfter w:w="134"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D1715E" w:rsidRDefault="006251B8" w:rsidP="00980863">
            <w:pPr>
              <w:spacing w:before="60" w:after="60"/>
              <w:jc w:val="left"/>
              <w:rPr>
                <w:rFonts w:ascii="Arial" w:hAnsi="Arial"/>
                <w:bCs w:val="0"/>
              </w:rPr>
            </w:pPr>
            <w:r w:rsidRPr="00D1715E">
              <w:rPr>
                <w:rFonts w:ascii="Arial" w:hAnsi="Arial"/>
                <w:bCs w:val="0"/>
              </w:rPr>
              <w:t>Personal</w:t>
            </w:r>
          </w:p>
        </w:tc>
        <w:tc>
          <w:tcPr>
            <w:tcW w:w="6518" w:type="dxa"/>
          </w:tcPr>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Personalausfall/mangelnde Stellvertretung</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Fluktuation/Verlust von Know-how</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Unpassende Rekrutierung von Fachpersonal und Nachwuchs</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Mangelhafte Sicherheit und Gesundheit der Mitarbeitenden (Überforderung, Burnout, Mobbing usw.)</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Fehlerhafte oder manipulierte Lohnzahlungen bzw. Sozialversicherungen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Mangelnde interne Kommunikation</w:t>
            </w:r>
          </w:p>
          <w:p w:rsidR="006251B8" w:rsidRPr="00D1715E"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D1715E">
              <w:rPr>
                <w:rFonts w:ascii="Arial" w:eastAsia="Calibri" w:hAnsi="Arial"/>
              </w:rPr>
              <w:t xml:space="preserve">Zu rudimentäre oder ausbleibende </w:t>
            </w:r>
            <w:proofErr w:type="spellStart"/>
            <w:r w:rsidRPr="00D1715E">
              <w:rPr>
                <w:rFonts w:ascii="Arial" w:eastAsia="Calibri" w:hAnsi="Arial"/>
              </w:rPr>
              <w:t>Mitarbeitendengespräche</w:t>
            </w:r>
            <w:proofErr w:type="spellEnd"/>
          </w:p>
        </w:tc>
      </w:tr>
      <w:tr w:rsidR="00D1715E" w:rsidRPr="00D1715E" w:rsidTr="003E484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D1715E" w:rsidRDefault="006251B8" w:rsidP="00980863">
            <w:pPr>
              <w:spacing w:before="60" w:after="60"/>
              <w:jc w:val="left"/>
              <w:rPr>
                <w:rFonts w:ascii="Arial" w:hAnsi="Arial"/>
                <w:bCs w:val="0"/>
              </w:rPr>
            </w:pPr>
            <w:r w:rsidRPr="00D1715E">
              <w:rPr>
                <w:rFonts w:ascii="Arial" w:hAnsi="Arial"/>
                <w:bCs w:val="0"/>
              </w:rPr>
              <w:t>Prozesse</w:t>
            </w:r>
          </w:p>
        </w:tc>
        <w:tc>
          <w:tcPr>
            <w:tcW w:w="6652" w:type="dxa"/>
            <w:gridSpan w:val="3"/>
            <w:tcBorders>
              <w:top w:val="none" w:sz="0" w:space="0" w:color="auto"/>
              <w:bottom w:val="none" w:sz="0" w:space="0" w:color="auto"/>
              <w:right w:val="none" w:sz="0" w:space="0" w:color="auto"/>
            </w:tcBorders>
          </w:tcPr>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Fehlerhaftes Prozessmanagement und mangelhafte Dokumentation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Ungenügende Servicequalität und -kontinuität</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Ungenügende Medienarbeit und Information</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Abhängigkeit von Dritten (Outsourcing)</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Ungenügende Projektplanung</w:t>
            </w:r>
          </w:p>
          <w:p w:rsidR="006251B8" w:rsidRPr="00D1715E"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D1715E">
              <w:rPr>
                <w:rFonts w:ascii="Arial" w:eastAsia="Calibri" w:hAnsi="Arial"/>
              </w:rPr>
              <w:t>Unlautere Geschäftspraktiken</w:t>
            </w:r>
          </w:p>
        </w:tc>
      </w:tr>
    </w:tbl>
    <w:p w:rsidR="006251B8" w:rsidRPr="006251B8" w:rsidRDefault="006251B8" w:rsidP="006251B8">
      <w:pPr>
        <w:rPr>
          <w:rFonts w:ascii="Arial" w:hAnsi="Arial" w:cs="Arial"/>
        </w:rPr>
      </w:pPr>
    </w:p>
    <w:tbl>
      <w:tblPr>
        <w:tblStyle w:val="HelleListe-Akzent3"/>
        <w:tblW w:w="87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6794"/>
        <w:gridCol w:w="6"/>
        <w:gridCol w:w="12"/>
      </w:tblGrid>
      <w:tr w:rsidR="00D1715E" w:rsidRPr="00D1715E" w:rsidTr="00D1715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783" w:type="dxa"/>
            <w:gridSpan w:val="4"/>
            <w:shd w:val="clear" w:color="auto" w:fill="BFBFBF" w:themeFill="background1" w:themeFillShade="BF"/>
          </w:tcPr>
          <w:p w:rsidR="006251B8" w:rsidRPr="00D1715E" w:rsidRDefault="006251B8" w:rsidP="00980863">
            <w:pPr>
              <w:spacing w:before="60" w:after="60"/>
              <w:jc w:val="left"/>
              <w:rPr>
                <w:rFonts w:ascii="Arial" w:hAnsi="Arial"/>
                <w:bCs w:val="0"/>
                <w:color w:val="auto"/>
              </w:rPr>
            </w:pPr>
            <w:r w:rsidRPr="00D1715E">
              <w:rPr>
                <w:rFonts w:ascii="Arial" w:hAnsi="Arial"/>
                <w:bCs w:val="0"/>
                <w:color w:val="auto"/>
              </w:rPr>
              <w:lastRenderedPageBreak/>
              <w:t>Sach-, technische und Elementarrisiken</w:t>
            </w:r>
          </w:p>
        </w:tc>
      </w:tr>
      <w:tr w:rsidR="006251B8" w:rsidRPr="006251B8" w:rsidTr="00D1715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6251B8" w:rsidRDefault="006251B8" w:rsidP="00980863">
            <w:pPr>
              <w:spacing w:before="60" w:after="60"/>
              <w:jc w:val="left"/>
              <w:rPr>
                <w:rFonts w:ascii="Arial" w:hAnsi="Arial"/>
                <w:bCs w:val="0"/>
              </w:rPr>
            </w:pPr>
            <w:r w:rsidRPr="006251B8">
              <w:rPr>
                <w:rFonts w:ascii="Arial" w:hAnsi="Arial"/>
                <w:bCs w:val="0"/>
              </w:rPr>
              <w:t>IT</w:t>
            </w:r>
          </w:p>
        </w:tc>
        <w:tc>
          <w:tcPr>
            <w:tcW w:w="6812" w:type="dxa"/>
            <w:gridSpan w:val="3"/>
            <w:tcBorders>
              <w:top w:val="none" w:sz="0" w:space="0" w:color="auto"/>
              <w:bottom w:val="none" w:sz="0" w:space="0" w:color="auto"/>
              <w:right w:val="none" w:sz="0" w:space="0" w:color="auto"/>
            </w:tcBorders>
          </w:tcPr>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Ungenügende Datensicherheit</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IT-Ausfall</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Datenverlust</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Unbefugter Datenzugriff</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Fehlende Archivierungsfähigkeit</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Falsche Datenklassifizierung</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Überalterte Infrastruktur technischer Anlagen</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Abhängigkeit von externem IT-Dienstleistern</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Komplexität der IT</w:t>
            </w:r>
          </w:p>
        </w:tc>
      </w:tr>
      <w:tr w:rsidR="006251B8" w:rsidRPr="006251B8" w:rsidTr="00D1715E">
        <w:trPr>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6251B8" w:rsidRDefault="006251B8" w:rsidP="00980863">
            <w:pPr>
              <w:spacing w:before="60" w:after="60"/>
              <w:jc w:val="left"/>
              <w:rPr>
                <w:rFonts w:ascii="Arial" w:hAnsi="Arial"/>
                <w:bCs w:val="0"/>
              </w:rPr>
            </w:pPr>
            <w:r w:rsidRPr="006251B8">
              <w:rPr>
                <w:rFonts w:ascii="Arial" w:hAnsi="Arial"/>
                <w:bCs w:val="0"/>
              </w:rPr>
              <w:t>Infrastruktur</w:t>
            </w:r>
          </w:p>
        </w:tc>
        <w:tc>
          <w:tcPr>
            <w:tcW w:w="6812" w:type="dxa"/>
            <w:gridSpan w:val="3"/>
          </w:tcPr>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Energie- und Wasserqualität</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Steigende Energie- und Wasserversorgungskosten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Versorgungssicherheit und -kontinuität</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Nichteinhalten der Umweltvorschriften für die Abfall- und Wasserversorgung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Infrastruktur für Abfall und Wasserversorgung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Vandalismus</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Unterhalt und Renovation öffentlicher Gebäude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b</w:t>
            </w:r>
            <w:bookmarkStart w:id="4" w:name="MacroStartPosition"/>
            <w:bookmarkEnd w:id="4"/>
            <w:r w:rsidRPr="006251B8">
              <w:rPr>
                <w:rFonts w:ascii="Arial" w:eastAsia="Calibri" w:hAnsi="Arial"/>
              </w:rPr>
              <w:t>auliche Sicherheit öffentlicher Gebäude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Kapazität öffentlicher Gebäude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Mangelhafte Sicherheit auf den Strassen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Mangelhafte Sicherheit im öffentlichen Verkehr</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Mangelhafte Gewährung des Verkehrsflusses</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Ungenügender Schutz und mangelnde Pflege landwirtschaftlicher Flächen, Wälder und Gewässer</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Naturkatastrophen/Elementarschäden (Hochwasser, Hagel, Schnee, Erdbeben, Sturm, Bergsturz, Lawinen, Steinschlag usw.)</w:t>
            </w:r>
          </w:p>
        </w:tc>
      </w:tr>
      <w:tr w:rsidR="00D1715E" w:rsidRPr="00D1715E" w:rsidTr="00D1715E">
        <w:trPr>
          <w:gridAfter w:val="1"/>
          <w:cnfStyle w:val="000000100000" w:firstRow="0" w:lastRow="0" w:firstColumn="0" w:lastColumn="0" w:oddVBand="0" w:evenVBand="0" w:oddHBand="1" w:evenHBand="0" w:firstRowFirstColumn="0" w:firstRowLastColumn="0" w:lastRowFirstColumn="0" w:lastRowLastColumn="0"/>
          <w:wAfter w:w="12" w:type="dxa"/>
          <w:cantSplit/>
          <w:tblHeader/>
          <w:jc w:val="center"/>
        </w:trPr>
        <w:tc>
          <w:tcPr>
            <w:cnfStyle w:val="001000000000" w:firstRow="0" w:lastRow="0" w:firstColumn="1" w:lastColumn="0" w:oddVBand="0" w:evenVBand="0" w:oddHBand="0" w:evenHBand="0" w:firstRowFirstColumn="0" w:firstRowLastColumn="0" w:lastRowFirstColumn="0" w:lastRowLastColumn="0"/>
            <w:tcW w:w="8775" w:type="dxa"/>
            <w:gridSpan w:val="3"/>
            <w:shd w:val="clear" w:color="auto" w:fill="BFBFBF" w:themeFill="background1" w:themeFillShade="BF"/>
          </w:tcPr>
          <w:p w:rsidR="006251B8" w:rsidRPr="00D1715E" w:rsidRDefault="006251B8" w:rsidP="00980863">
            <w:pPr>
              <w:spacing w:before="60" w:after="60"/>
              <w:jc w:val="left"/>
              <w:rPr>
                <w:rFonts w:ascii="Arial" w:hAnsi="Arial"/>
                <w:bCs w:val="0"/>
              </w:rPr>
            </w:pPr>
            <w:r w:rsidRPr="00D1715E">
              <w:rPr>
                <w:rFonts w:ascii="Arial" w:hAnsi="Arial"/>
                <w:bCs w:val="0"/>
              </w:rPr>
              <w:t>Finanzielle und wirtschaftliche Risiken</w:t>
            </w:r>
          </w:p>
        </w:tc>
      </w:tr>
      <w:tr w:rsidR="006251B8" w:rsidRPr="006251B8" w:rsidTr="00D1715E">
        <w:trPr>
          <w:gridAfter w:val="2"/>
          <w:wAfter w:w="1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6251B8" w:rsidRDefault="006251B8" w:rsidP="00980863">
            <w:pPr>
              <w:spacing w:before="60" w:after="60"/>
              <w:jc w:val="left"/>
              <w:rPr>
                <w:rFonts w:ascii="Arial" w:hAnsi="Arial"/>
                <w:bCs w:val="0"/>
              </w:rPr>
            </w:pPr>
            <w:r w:rsidRPr="006251B8">
              <w:rPr>
                <w:rFonts w:ascii="Arial" w:hAnsi="Arial"/>
                <w:bCs w:val="0"/>
              </w:rPr>
              <w:t>Steuern</w:t>
            </w:r>
          </w:p>
        </w:tc>
        <w:tc>
          <w:tcPr>
            <w:tcW w:w="6794" w:type="dxa"/>
          </w:tcPr>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Sinkende Steuereinnahmen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Zunehmender Steuerwettbewerb (</w:t>
            </w:r>
            <w:proofErr w:type="spellStart"/>
            <w:r w:rsidRPr="006251B8">
              <w:rPr>
                <w:rFonts w:ascii="Arial" w:eastAsia="Calibri" w:hAnsi="Arial"/>
              </w:rPr>
              <w:t>Klumpenrisiko</w:t>
            </w:r>
            <w:proofErr w:type="spellEnd"/>
            <w:r w:rsidRPr="006251B8">
              <w:rPr>
                <w:rFonts w:ascii="Arial" w:eastAsia="Calibri" w:hAnsi="Arial"/>
              </w:rPr>
              <w:t xml:space="preserve"> Steuerzahler)</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Nicht vorausschauende Wirtschaftsplanung (Wegzug Arbeitgeber)</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Neugestaltung Finanzausgleich und Aufgabenteilung</w:t>
            </w:r>
          </w:p>
        </w:tc>
      </w:tr>
      <w:tr w:rsidR="006251B8" w:rsidRPr="006251B8" w:rsidTr="00D1715E">
        <w:trPr>
          <w:gridAfter w:val="2"/>
          <w:cnfStyle w:val="000000100000" w:firstRow="0" w:lastRow="0" w:firstColumn="0" w:lastColumn="0" w:oddVBand="0" w:evenVBand="0" w:oddHBand="1" w:evenHBand="0" w:firstRowFirstColumn="0" w:firstRowLastColumn="0" w:lastRowFirstColumn="0" w:lastRowLastColumn="0"/>
          <w:wAfter w:w="1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left w:val="none" w:sz="0" w:space="0" w:color="auto"/>
              <w:bottom w:val="none" w:sz="0" w:space="0" w:color="auto"/>
            </w:tcBorders>
          </w:tcPr>
          <w:p w:rsidR="006251B8" w:rsidRPr="006251B8" w:rsidRDefault="006251B8" w:rsidP="00980863">
            <w:pPr>
              <w:spacing w:before="60" w:after="60"/>
              <w:jc w:val="left"/>
              <w:rPr>
                <w:rFonts w:ascii="Arial" w:hAnsi="Arial"/>
                <w:bCs w:val="0"/>
              </w:rPr>
            </w:pPr>
            <w:r w:rsidRPr="006251B8">
              <w:rPr>
                <w:rFonts w:ascii="Arial" w:hAnsi="Arial"/>
                <w:bCs w:val="0"/>
              </w:rPr>
              <w:t>Allgemeine Wirtschaftslage</w:t>
            </w:r>
          </w:p>
        </w:tc>
        <w:tc>
          <w:tcPr>
            <w:tcW w:w="6794" w:type="dxa"/>
            <w:tcBorders>
              <w:top w:val="none" w:sz="0" w:space="0" w:color="auto"/>
              <w:bottom w:val="none" w:sz="0" w:space="0" w:color="auto"/>
              <w:right w:val="none" w:sz="0" w:space="0" w:color="auto"/>
            </w:tcBorders>
          </w:tcPr>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Konjunktur</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Zinsentwicklung (Kreditkosten)</w:t>
            </w:r>
          </w:p>
          <w:p w:rsidR="006251B8" w:rsidRPr="006251B8" w:rsidRDefault="006251B8" w:rsidP="006251B8">
            <w:pPr>
              <w:numPr>
                <w:ilvl w:val="0"/>
                <w:numId w:val="2"/>
              </w:numPr>
              <w:spacing w:before="60" w:after="60"/>
              <w:ind w:left="284" w:hanging="284"/>
              <w:contextualSpacing/>
              <w:jc w:val="left"/>
              <w:cnfStyle w:val="000000100000" w:firstRow="0" w:lastRow="0" w:firstColumn="0" w:lastColumn="0" w:oddVBand="0" w:evenVBand="0" w:oddHBand="1" w:evenHBand="0" w:firstRowFirstColumn="0" w:firstRowLastColumn="0" w:lastRowFirstColumn="0" w:lastRowLastColumn="0"/>
              <w:rPr>
                <w:rFonts w:ascii="Arial" w:eastAsia="Calibri" w:hAnsi="Arial"/>
              </w:rPr>
            </w:pPr>
            <w:r w:rsidRPr="006251B8">
              <w:rPr>
                <w:rFonts w:ascii="Arial" w:eastAsia="Calibri" w:hAnsi="Arial"/>
              </w:rPr>
              <w:t>Abhängigkeit von der (nationalen und globalen) Wirtschaft</w:t>
            </w:r>
          </w:p>
        </w:tc>
      </w:tr>
      <w:tr w:rsidR="006251B8" w:rsidRPr="006251B8" w:rsidTr="00D1715E">
        <w:trPr>
          <w:gridAfter w:val="2"/>
          <w:wAfter w:w="18" w:type="dxa"/>
          <w:cantSplit/>
          <w:jc w:val="center"/>
        </w:trPr>
        <w:tc>
          <w:tcPr>
            <w:cnfStyle w:val="001000000000" w:firstRow="0" w:lastRow="0" w:firstColumn="1" w:lastColumn="0" w:oddVBand="0" w:evenVBand="0" w:oddHBand="0" w:evenHBand="0" w:firstRowFirstColumn="0" w:firstRowLastColumn="0" w:lastRowFirstColumn="0" w:lastRowLastColumn="0"/>
            <w:tcW w:w="1975" w:type="dxa"/>
          </w:tcPr>
          <w:p w:rsidR="006251B8" w:rsidRPr="006251B8" w:rsidRDefault="006251B8" w:rsidP="00980863">
            <w:pPr>
              <w:spacing w:before="60" w:after="60"/>
              <w:jc w:val="left"/>
              <w:rPr>
                <w:rFonts w:ascii="Arial" w:hAnsi="Arial"/>
                <w:bCs w:val="0"/>
              </w:rPr>
            </w:pPr>
            <w:r w:rsidRPr="006251B8">
              <w:rPr>
                <w:rFonts w:ascii="Arial" w:hAnsi="Arial"/>
                <w:bCs w:val="0"/>
              </w:rPr>
              <w:lastRenderedPageBreak/>
              <w:t>Finanzierung</w:t>
            </w:r>
          </w:p>
        </w:tc>
        <w:tc>
          <w:tcPr>
            <w:tcW w:w="6794" w:type="dxa"/>
          </w:tcPr>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Steigender Investitionsbedarf (Investitions- und Finanzplanung)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Steigende Verschuldung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Unzureichende Erschliessung neuer Finanzquellen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Ungenügende finanzielle Leistungsfähigkeit</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Mangelhafte strategische Führung mit Finanzen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Unklare Finanzierung und Verteilung öffentlicher Aufgaben (Soziale Wohlfahrt, Gesundheitswesen usw.)</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Veruntreuung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Fehlerhafte Mehrwertsteuer-Abrechnungen</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Unvollständige Erfassung der Finanzgeschäfte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Fehlende Übereinstimmung der Werthaltigkeit von Anlagen mit der Bilanzierung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Forderungsausfälle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Hohe Spezialfinanzierung</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Negative Entwicklung der kantonalen Pensionskasse</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Anlagerisiko</w:t>
            </w:r>
          </w:p>
          <w:p w:rsidR="006251B8" w:rsidRPr="006251B8" w:rsidRDefault="006251B8" w:rsidP="006251B8">
            <w:pPr>
              <w:numPr>
                <w:ilvl w:val="0"/>
                <w:numId w:val="2"/>
              </w:numPr>
              <w:spacing w:before="60" w:after="60"/>
              <w:ind w:left="284" w:hanging="284"/>
              <w:contextualSpacing/>
              <w:jc w:val="left"/>
              <w:cnfStyle w:val="000000000000" w:firstRow="0" w:lastRow="0" w:firstColumn="0" w:lastColumn="0" w:oddVBand="0" w:evenVBand="0" w:oddHBand="0" w:evenHBand="0" w:firstRowFirstColumn="0" w:firstRowLastColumn="0" w:lastRowFirstColumn="0" w:lastRowLastColumn="0"/>
              <w:rPr>
                <w:rFonts w:ascii="Arial" w:eastAsia="Calibri" w:hAnsi="Arial"/>
              </w:rPr>
            </w:pPr>
            <w:r w:rsidRPr="006251B8">
              <w:rPr>
                <w:rFonts w:ascii="Arial" w:eastAsia="Calibri" w:hAnsi="Arial"/>
              </w:rPr>
              <w:t>Privatisierungen</w:t>
            </w:r>
          </w:p>
        </w:tc>
      </w:tr>
    </w:tbl>
    <w:p w:rsidR="00B06EA1" w:rsidRPr="006251B8" w:rsidRDefault="00B06EA1">
      <w:pPr>
        <w:rPr>
          <w:rFonts w:ascii="Arial" w:hAnsi="Arial" w:cs="Arial"/>
        </w:rPr>
      </w:pPr>
    </w:p>
    <w:sectPr w:rsidR="00B06EA1" w:rsidRPr="006251B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B9" w:rsidRDefault="007047B9" w:rsidP="006251B8">
      <w:pPr>
        <w:spacing w:after="0"/>
      </w:pPr>
      <w:r>
        <w:separator/>
      </w:r>
    </w:p>
  </w:endnote>
  <w:endnote w:type="continuationSeparator" w:id="0">
    <w:p w:rsidR="007047B9" w:rsidRDefault="007047B9" w:rsidP="006251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B8" w:rsidRPr="003E4843" w:rsidRDefault="003E4843" w:rsidP="003E4843">
    <w:pPr>
      <w:pStyle w:val="Fuzeile"/>
      <w:rPr>
        <w:rFonts w:ascii="Arial" w:hAnsi="Arial" w:cs="Arial"/>
        <w:sz w:val="20"/>
        <w:szCs w:val="20"/>
      </w:rPr>
    </w:pPr>
    <w:r w:rsidRPr="005A5668">
      <w:rPr>
        <w:rFonts w:ascii="Arial" w:hAnsi="Arial" w:cs="Arial"/>
        <w:sz w:val="20"/>
        <w:szCs w:val="20"/>
      </w:rPr>
      <w:t>Status: Version 1.0 (Stand 23.02.2018)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B9" w:rsidRDefault="007047B9" w:rsidP="006251B8">
      <w:pPr>
        <w:spacing w:after="0"/>
      </w:pPr>
      <w:r>
        <w:separator/>
      </w:r>
    </w:p>
  </w:footnote>
  <w:footnote w:type="continuationSeparator" w:id="0">
    <w:p w:rsidR="007047B9" w:rsidRDefault="007047B9" w:rsidP="006251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43" w:rsidRPr="005A5668" w:rsidRDefault="003E4843" w:rsidP="003E4843">
    <w:pPr>
      <w:pStyle w:val="Kopfzeile"/>
      <w:pBdr>
        <w:bottom w:val="single" w:sz="4" w:space="1" w:color="auto"/>
      </w:pBdr>
      <w:rPr>
        <w:rFonts w:ascii="Arial" w:hAnsi="Arial" w:cs="Arial"/>
        <w:b/>
        <w:sz w:val="20"/>
        <w:szCs w:val="20"/>
      </w:rPr>
    </w:pPr>
    <w:r w:rsidRPr="005A5668">
      <w:rPr>
        <w:rFonts w:ascii="Arial" w:hAnsi="Arial" w:cs="Arial"/>
        <w:sz w:val="20"/>
        <w:szCs w:val="20"/>
      </w:rPr>
      <w:t xml:space="preserve">Finanzdepartement </w:t>
    </w:r>
    <w:r w:rsidRPr="005A5668">
      <w:rPr>
        <w:rFonts w:ascii="Arial" w:hAnsi="Arial" w:cs="Arial"/>
        <w:sz w:val="20"/>
        <w:szCs w:val="20"/>
      </w:rPr>
      <w:tab/>
    </w:r>
    <w:r w:rsidRPr="005A5668">
      <w:rPr>
        <w:rFonts w:ascii="Arial" w:hAnsi="Arial" w:cs="Arial"/>
        <w:sz w:val="20"/>
        <w:szCs w:val="20"/>
      </w:rPr>
      <w:tab/>
      <w:t>Handbuch Finanzhaushalt der Gemeinden</w:t>
    </w:r>
  </w:p>
  <w:p w:rsidR="003E4843" w:rsidRPr="005A5668" w:rsidRDefault="003E4843" w:rsidP="003E4843">
    <w:pPr>
      <w:pStyle w:val="Kopfzeile"/>
      <w:pBdr>
        <w:bottom w:val="single" w:sz="4" w:space="1" w:color="auto"/>
      </w:pBdr>
      <w:tabs>
        <w:tab w:val="clear" w:pos="4536"/>
      </w:tabs>
      <w:rPr>
        <w:rFonts w:ascii="Arial" w:hAnsi="Arial" w:cs="Arial"/>
        <w:b/>
        <w:sz w:val="20"/>
        <w:szCs w:val="20"/>
      </w:rPr>
    </w:pPr>
    <w:r w:rsidRPr="005A5668">
      <w:rPr>
        <w:rFonts w:ascii="Arial" w:hAnsi="Arial" w:cs="Arial"/>
        <w:sz w:val="20"/>
        <w:szCs w:val="20"/>
      </w:rPr>
      <w:tab/>
    </w:r>
    <w:r w:rsidRPr="005A5668">
      <w:rPr>
        <w:rFonts w:ascii="Arial" w:hAnsi="Arial" w:cs="Arial"/>
        <w:b/>
        <w:sz w:val="20"/>
        <w:szCs w:val="20"/>
      </w:rPr>
      <w:t xml:space="preserve">Risikomanagement / IKS, </w:t>
    </w:r>
    <w:r>
      <w:rPr>
        <w:rFonts w:ascii="Arial" w:hAnsi="Arial" w:cs="Arial"/>
        <w:b/>
        <w:sz w:val="20"/>
        <w:szCs w:val="20"/>
      </w:rPr>
      <w:t>Risikokatalog - Muster</w:t>
    </w:r>
  </w:p>
  <w:p w:rsidR="003E4843" w:rsidRDefault="003E4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0DB6"/>
    <w:multiLevelType w:val="hybridMultilevel"/>
    <w:tmpl w:val="54826F28"/>
    <w:lvl w:ilvl="0" w:tplc="EF74FC1A">
      <w:start w:val="1"/>
      <w:numFmt w:val="bullet"/>
      <w:pStyle w:val="ListenabsatzinTabell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6CB35AD"/>
    <w:multiLevelType w:val="multilevel"/>
    <w:tmpl w:val="5302D308"/>
    <w:lvl w:ilvl="0">
      <w:start w:val="2"/>
      <w:numFmt w:val="decimal"/>
      <w:pStyle w:val="berschrift1"/>
      <w:lvlText w:val="%1"/>
      <w:lvlJc w:val="left"/>
      <w:pPr>
        <w:ind w:left="794" w:hanging="794"/>
      </w:pPr>
      <w:rPr>
        <w:rFonts w:asciiTheme="majorHAnsi" w:hAnsiTheme="majorHAnsi" w:hint="default"/>
        <w:b/>
        <w:i w:val="0"/>
        <w:sz w:val="36"/>
      </w:rPr>
    </w:lvl>
    <w:lvl w:ilvl="1">
      <w:start w:val="1"/>
      <w:numFmt w:val="decimal"/>
      <w:pStyle w:val="berschrift2"/>
      <w:lvlText w:val="%1.%2"/>
      <w:lvlJc w:val="left"/>
      <w:pPr>
        <w:ind w:left="794" w:hanging="794"/>
      </w:pPr>
      <w:rPr>
        <w:rFonts w:asciiTheme="majorHAnsi" w:hAnsiTheme="majorHAnsi" w:hint="default"/>
        <w:b/>
        <w:i w:val="0"/>
        <w:sz w:val="32"/>
      </w:rPr>
    </w:lvl>
    <w:lvl w:ilvl="2">
      <w:start w:val="1"/>
      <w:numFmt w:val="decimal"/>
      <w:pStyle w:val="berschrift3"/>
      <w:lvlText w:val="%1.%2.%3"/>
      <w:lvlJc w:val="left"/>
      <w:pPr>
        <w:ind w:left="794" w:hanging="794"/>
      </w:pPr>
      <w:rPr>
        <w:rFonts w:asciiTheme="majorHAnsi" w:hAnsiTheme="majorHAnsi" w:hint="default"/>
        <w:b/>
        <w:i w:val="0"/>
        <w:sz w:val="28"/>
      </w:rPr>
    </w:lvl>
    <w:lvl w:ilvl="3">
      <w:start w:val="1"/>
      <w:numFmt w:val="decimal"/>
      <w:pStyle w:val="berschrift4"/>
      <w:lvlText w:val="%1.%2.%3.%4"/>
      <w:lvlJc w:val="left"/>
      <w:pPr>
        <w:ind w:left="6323" w:hanging="794"/>
      </w:pPr>
      <w:rPr>
        <w:rFonts w:asciiTheme="majorHAnsi" w:hAnsiTheme="majorHAnsi" w:hint="default"/>
        <w:b/>
        <w:i w:val="0"/>
        <w:sz w:val="24"/>
      </w:rPr>
    </w:lvl>
    <w:lvl w:ilvl="4">
      <w:start w:val="1"/>
      <w:numFmt w:val="decimal"/>
      <w:pStyle w:val="berschrift5"/>
      <w:lvlText w:val="%1.%2.%3.%4.%5"/>
      <w:lvlJc w:val="left"/>
      <w:pPr>
        <w:ind w:left="1134" w:hanging="1134"/>
      </w:pPr>
      <w:rPr>
        <w:rFonts w:asciiTheme="majorHAnsi" w:hAnsiTheme="majorHAnsi" w:hint="default"/>
        <w:b/>
        <w:i w:val="0"/>
        <w:sz w:val="24"/>
      </w:rPr>
    </w:lvl>
    <w:lvl w:ilvl="5">
      <w:start w:val="1"/>
      <w:numFmt w:val="decimal"/>
      <w:pStyle w:val="berschrift6"/>
      <w:lvlText w:val="%1.%2.%3.%4.%5.%6"/>
      <w:lvlJc w:val="left"/>
      <w:pPr>
        <w:ind w:left="1134" w:hanging="1134"/>
      </w:pPr>
      <w:rPr>
        <w:rFonts w:asciiTheme="majorHAnsi" w:hAnsiTheme="majorHAnsi"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B8"/>
    <w:rsid w:val="000465F9"/>
    <w:rsid w:val="00140055"/>
    <w:rsid w:val="00297CFB"/>
    <w:rsid w:val="002A6655"/>
    <w:rsid w:val="00362F89"/>
    <w:rsid w:val="003E4843"/>
    <w:rsid w:val="003E726B"/>
    <w:rsid w:val="005B6B67"/>
    <w:rsid w:val="006251B8"/>
    <w:rsid w:val="007047B9"/>
    <w:rsid w:val="00B06EA1"/>
    <w:rsid w:val="00C76C20"/>
    <w:rsid w:val="00D171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EBAA"/>
  <w15:chartTrackingRefBased/>
  <w15:docId w15:val="{2FC08E43-F9EB-4CF9-A24A-31801C34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1"/>
        <w:szCs w:val="21"/>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51B8"/>
    <w:pPr>
      <w:spacing w:after="120"/>
      <w:jc w:val="both"/>
    </w:pPr>
    <w:rPr>
      <w:rFonts w:ascii="Garamond" w:eastAsiaTheme="minorEastAsia" w:hAnsi="Garamond"/>
      <w:szCs w:val="22"/>
    </w:rPr>
  </w:style>
  <w:style w:type="paragraph" w:styleId="berschrift1">
    <w:name w:val="heading 1"/>
    <w:basedOn w:val="Standard"/>
    <w:next w:val="Standard"/>
    <w:link w:val="berschrift1Zchn"/>
    <w:uiPriority w:val="9"/>
    <w:qFormat/>
    <w:rsid w:val="006251B8"/>
    <w:pPr>
      <w:keepNext/>
      <w:keepLines/>
      <w:pageBreakBefore/>
      <w:numPr>
        <w:numId w:val="1"/>
      </w:numPr>
      <w:suppressAutoHyphens/>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6251B8"/>
    <w:pPr>
      <w:keepNext/>
      <w:keepLines/>
      <w:numPr>
        <w:ilvl w:val="1"/>
        <w:numId w:val="1"/>
      </w:numPr>
      <w:suppressAutoHyphens/>
      <w:spacing w:before="360"/>
      <w:ind w:left="851" w:hanging="851"/>
      <w:jc w:val="left"/>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6251B8"/>
    <w:pPr>
      <w:keepNext/>
      <w:keepLines/>
      <w:numPr>
        <w:ilvl w:val="2"/>
        <w:numId w:val="1"/>
      </w:numPr>
      <w:suppressAutoHyphens/>
      <w:spacing w:before="240"/>
      <w:ind w:left="851" w:hanging="851"/>
      <w:jc w:val="lef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6251B8"/>
    <w:pPr>
      <w:keepNext/>
      <w:keepLines/>
      <w:numPr>
        <w:ilvl w:val="3"/>
        <w:numId w:val="1"/>
      </w:numPr>
      <w:suppressAutoHyphens/>
      <w:spacing w:before="240"/>
      <w:ind w:left="851" w:hanging="851"/>
      <w:jc w:val="left"/>
      <w:outlineLvl w:val="3"/>
    </w:pPr>
    <w:rPr>
      <w:rFonts w:eastAsiaTheme="majorEastAsia" w:cstheme="majorBidi"/>
      <w:b/>
      <w:bCs/>
      <w:iCs/>
      <w:sz w:val="24"/>
    </w:rPr>
  </w:style>
  <w:style w:type="paragraph" w:styleId="berschrift5">
    <w:name w:val="heading 5"/>
    <w:basedOn w:val="Standard"/>
    <w:next w:val="Standard"/>
    <w:link w:val="berschrift5Zchn"/>
    <w:uiPriority w:val="9"/>
    <w:unhideWhenUsed/>
    <w:qFormat/>
    <w:rsid w:val="006251B8"/>
    <w:pPr>
      <w:keepNext/>
      <w:keepLines/>
      <w:numPr>
        <w:ilvl w:val="4"/>
        <w:numId w:val="1"/>
      </w:numPr>
      <w:suppressAutoHyphens/>
      <w:spacing w:before="240"/>
      <w:jc w:val="left"/>
      <w:outlineLvl w:val="4"/>
    </w:pPr>
    <w:rPr>
      <w:rFonts w:eastAsiaTheme="majorEastAsia" w:cstheme="majorBidi"/>
      <w:b/>
      <w:sz w:val="22"/>
    </w:rPr>
  </w:style>
  <w:style w:type="paragraph" w:styleId="berschrift6">
    <w:name w:val="heading 6"/>
    <w:basedOn w:val="Standard"/>
    <w:next w:val="Standard"/>
    <w:link w:val="berschrift6Zchn"/>
    <w:uiPriority w:val="9"/>
    <w:unhideWhenUsed/>
    <w:qFormat/>
    <w:rsid w:val="006251B8"/>
    <w:pPr>
      <w:keepNext/>
      <w:keepLines/>
      <w:numPr>
        <w:ilvl w:val="5"/>
        <w:numId w:val="1"/>
      </w:numPr>
      <w:suppressAutoHyphens/>
      <w:spacing w:before="240"/>
      <w:jc w:val="left"/>
      <w:outlineLvl w:val="5"/>
    </w:pPr>
    <w:rPr>
      <w:rFonts w:eastAsiaTheme="majorEastAsia" w:cstheme="majorBidi"/>
      <w:b/>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rsid w:val="00362F89"/>
    <w:tblPr>
      <w:tblInd w:w="-57" w:type="dxa"/>
      <w:tblCellMar>
        <w:left w:w="57" w:type="dxa"/>
        <w:right w:w="57" w:type="dxa"/>
      </w:tblCellMar>
    </w:tblPr>
  </w:style>
  <w:style w:type="character" w:customStyle="1" w:styleId="berschrift1Zchn">
    <w:name w:val="Überschrift 1 Zchn"/>
    <w:basedOn w:val="Absatz-Standardschriftart"/>
    <w:link w:val="berschrift1"/>
    <w:uiPriority w:val="9"/>
    <w:rsid w:val="006251B8"/>
    <w:rPr>
      <w:rFonts w:ascii="Garamond" w:eastAsiaTheme="majorEastAsia" w:hAnsi="Garamond" w:cstheme="majorBidi"/>
      <w:b/>
      <w:bCs/>
      <w:sz w:val="32"/>
      <w:szCs w:val="28"/>
    </w:rPr>
  </w:style>
  <w:style w:type="character" w:customStyle="1" w:styleId="berschrift2Zchn">
    <w:name w:val="Überschrift 2 Zchn"/>
    <w:basedOn w:val="Absatz-Standardschriftart"/>
    <w:link w:val="berschrift2"/>
    <w:uiPriority w:val="9"/>
    <w:rsid w:val="006251B8"/>
    <w:rPr>
      <w:rFonts w:ascii="Garamond" w:eastAsiaTheme="majorEastAsia" w:hAnsi="Garamond" w:cstheme="majorBidi"/>
      <w:b/>
      <w:bCs/>
      <w:sz w:val="28"/>
      <w:szCs w:val="26"/>
    </w:rPr>
  </w:style>
  <w:style w:type="character" w:customStyle="1" w:styleId="berschrift3Zchn">
    <w:name w:val="Überschrift 3 Zchn"/>
    <w:basedOn w:val="Absatz-Standardschriftart"/>
    <w:link w:val="berschrift3"/>
    <w:uiPriority w:val="9"/>
    <w:rsid w:val="006251B8"/>
    <w:rPr>
      <w:rFonts w:ascii="Garamond" w:eastAsiaTheme="majorEastAsia" w:hAnsi="Garamond" w:cstheme="majorBidi"/>
      <w:b/>
      <w:bCs/>
      <w:sz w:val="24"/>
      <w:szCs w:val="22"/>
    </w:rPr>
  </w:style>
  <w:style w:type="character" w:customStyle="1" w:styleId="berschrift4Zchn">
    <w:name w:val="Überschrift 4 Zchn"/>
    <w:basedOn w:val="Absatz-Standardschriftart"/>
    <w:link w:val="berschrift4"/>
    <w:uiPriority w:val="9"/>
    <w:rsid w:val="006251B8"/>
    <w:rPr>
      <w:rFonts w:ascii="Garamond" w:eastAsiaTheme="majorEastAsia" w:hAnsi="Garamond" w:cstheme="majorBidi"/>
      <w:b/>
      <w:bCs/>
      <w:iCs/>
      <w:sz w:val="24"/>
      <w:szCs w:val="22"/>
    </w:rPr>
  </w:style>
  <w:style w:type="character" w:customStyle="1" w:styleId="berschrift5Zchn">
    <w:name w:val="Überschrift 5 Zchn"/>
    <w:basedOn w:val="Absatz-Standardschriftart"/>
    <w:link w:val="berschrift5"/>
    <w:uiPriority w:val="9"/>
    <w:rsid w:val="006251B8"/>
    <w:rPr>
      <w:rFonts w:ascii="Garamond" w:eastAsiaTheme="majorEastAsia" w:hAnsi="Garamond" w:cstheme="majorBidi"/>
      <w:b/>
      <w:sz w:val="22"/>
      <w:szCs w:val="22"/>
    </w:rPr>
  </w:style>
  <w:style w:type="character" w:customStyle="1" w:styleId="berschrift6Zchn">
    <w:name w:val="Überschrift 6 Zchn"/>
    <w:basedOn w:val="Absatz-Standardschriftart"/>
    <w:link w:val="berschrift6"/>
    <w:uiPriority w:val="9"/>
    <w:rsid w:val="006251B8"/>
    <w:rPr>
      <w:rFonts w:ascii="Garamond" w:eastAsiaTheme="majorEastAsia" w:hAnsi="Garamond" w:cstheme="majorBidi"/>
      <w:b/>
      <w:iCs/>
      <w:sz w:val="22"/>
      <w:szCs w:val="22"/>
    </w:rPr>
  </w:style>
  <w:style w:type="paragraph" w:styleId="Funotentext">
    <w:name w:val="footnote text"/>
    <w:basedOn w:val="Standard"/>
    <w:link w:val="FunotentextZchn"/>
    <w:qFormat/>
    <w:rsid w:val="006251B8"/>
    <w:pPr>
      <w:tabs>
        <w:tab w:val="left" w:pos="567"/>
      </w:tabs>
      <w:spacing w:after="0"/>
      <w:jc w:val="left"/>
    </w:pPr>
    <w:rPr>
      <w:rFonts w:eastAsia="Times New Roman" w:cs="Times New Roman"/>
      <w:sz w:val="17"/>
      <w:szCs w:val="20"/>
      <w:lang w:eastAsia="de-DE"/>
    </w:rPr>
  </w:style>
  <w:style w:type="character" w:customStyle="1" w:styleId="FunotentextZchn">
    <w:name w:val="Fußnotentext Zchn"/>
    <w:basedOn w:val="Absatz-Standardschriftart"/>
    <w:link w:val="Funotentext"/>
    <w:rsid w:val="006251B8"/>
    <w:rPr>
      <w:rFonts w:ascii="Garamond" w:eastAsia="Times New Roman" w:hAnsi="Garamond" w:cs="Times New Roman"/>
      <w:sz w:val="17"/>
      <w:szCs w:val="20"/>
      <w:lang w:eastAsia="de-DE"/>
    </w:rPr>
  </w:style>
  <w:style w:type="character" w:styleId="Funotenzeichen">
    <w:name w:val="footnote reference"/>
    <w:basedOn w:val="Absatz-Standardschriftart"/>
    <w:qFormat/>
    <w:rsid w:val="006251B8"/>
    <w:rPr>
      <w:rFonts w:ascii="Garamond" w:hAnsi="Garamond" w:cs="Times New Roman"/>
      <w:sz w:val="21"/>
      <w:vertAlign w:val="superscript"/>
    </w:rPr>
  </w:style>
  <w:style w:type="paragraph" w:customStyle="1" w:styleId="ListenabsatzinTabelle">
    <w:name w:val="Listenabsatz in Tabelle"/>
    <w:basedOn w:val="Listenabsatz"/>
    <w:uiPriority w:val="99"/>
    <w:qFormat/>
    <w:rsid w:val="006251B8"/>
    <w:pPr>
      <w:numPr>
        <w:numId w:val="2"/>
      </w:numPr>
      <w:tabs>
        <w:tab w:val="num" w:pos="360"/>
      </w:tabs>
      <w:spacing w:before="60" w:after="60"/>
      <w:ind w:left="284" w:hanging="284"/>
      <w:jc w:val="left"/>
    </w:pPr>
    <w:rPr>
      <w:rFonts w:eastAsia="Calibri"/>
    </w:rPr>
  </w:style>
  <w:style w:type="table" w:styleId="HelleListe-Akzent3">
    <w:name w:val="Light List Accent 3"/>
    <w:basedOn w:val="NormaleTabelle"/>
    <w:uiPriority w:val="61"/>
    <w:rsid w:val="006251B8"/>
    <w:rPr>
      <w:rFonts w:ascii="Arial" w:hAnsi="Arial" w:cs="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enabsatz">
    <w:name w:val="List Paragraph"/>
    <w:basedOn w:val="Standard"/>
    <w:uiPriority w:val="34"/>
    <w:qFormat/>
    <w:rsid w:val="006251B8"/>
    <w:pPr>
      <w:ind w:left="720"/>
      <w:contextualSpacing/>
    </w:pPr>
  </w:style>
  <w:style w:type="paragraph" w:styleId="Kopfzeile">
    <w:name w:val="header"/>
    <w:basedOn w:val="Standard"/>
    <w:link w:val="KopfzeileZchn"/>
    <w:uiPriority w:val="99"/>
    <w:unhideWhenUsed/>
    <w:rsid w:val="006251B8"/>
    <w:pPr>
      <w:tabs>
        <w:tab w:val="center" w:pos="4536"/>
        <w:tab w:val="right" w:pos="9072"/>
      </w:tabs>
      <w:spacing w:after="0"/>
    </w:pPr>
  </w:style>
  <w:style w:type="character" w:customStyle="1" w:styleId="KopfzeileZchn">
    <w:name w:val="Kopfzeile Zchn"/>
    <w:basedOn w:val="Absatz-Standardschriftart"/>
    <w:link w:val="Kopfzeile"/>
    <w:uiPriority w:val="99"/>
    <w:rsid w:val="006251B8"/>
    <w:rPr>
      <w:rFonts w:ascii="Garamond" w:eastAsiaTheme="minorEastAsia" w:hAnsi="Garamond"/>
      <w:szCs w:val="22"/>
    </w:rPr>
  </w:style>
  <w:style w:type="paragraph" w:styleId="Fuzeile">
    <w:name w:val="footer"/>
    <w:basedOn w:val="Standard"/>
    <w:link w:val="FuzeileZchn"/>
    <w:uiPriority w:val="99"/>
    <w:unhideWhenUsed/>
    <w:rsid w:val="006251B8"/>
    <w:pPr>
      <w:tabs>
        <w:tab w:val="center" w:pos="4536"/>
        <w:tab w:val="right" w:pos="9072"/>
      </w:tabs>
      <w:spacing w:after="0"/>
    </w:pPr>
  </w:style>
  <w:style w:type="character" w:customStyle="1" w:styleId="FuzeileZchn">
    <w:name w:val="Fußzeile Zchn"/>
    <w:basedOn w:val="Absatz-Standardschriftart"/>
    <w:link w:val="Fuzeile"/>
    <w:uiPriority w:val="99"/>
    <w:rsid w:val="006251B8"/>
    <w:rPr>
      <w:rFonts w:ascii="Garamond" w:eastAsiaTheme="minorEastAsia" w:hAnsi="Garamon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B8B0-35A2-4D22-BF08-09946552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IT Services Hochschule Luzern</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Henrizi Philipp HSLU W</dc:creator>
  <cp:keywords/>
  <dc:description/>
  <cp:lastModifiedBy>Burkhardt Dorothea</cp:lastModifiedBy>
  <cp:revision>2</cp:revision>
  <dcterms:created xsi:type="dcterms:W3CDTF">2018-03-01T15:43:00Z</dcterms:created>
  <dcterms:modified xsi:type="dcterms:W3CDTF">2018-03-01T15:43:00Z</dcterms:modified>
</cp:coreProperties>
</file>