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B0" w:rsidRPr="00BF4AB0" w:rsidRDefault="005A5668" w:rsidP="005A5668">
      <w:pPr>
        <w:pStyle w:val="berschrift2"/>
        <w:numPr>
          <w:ilvl w:val="0"/>
          <w:numId w:val="0"/>
        </w:numPr>
        <w:spacing w:before="0"/>
        <w:rPr>
          <w:rFonts w:ascii="Arial" w:hAnsi="Arial" w:cs="Arial"/>
        </w:rPr>
      </w:pPr>
      <w:r>
        <w:rPr>
          <w:rFonts w:ascii="Arial" w:hAnsi="Arial" w:cs="Arial"/>
        </w:rPr>
        <w:t>C</w:t>
      </w:r>
      <w:r w:rsidR="00BF4AB0" w:rsidRPr="00BF4AB0">
        <w:rPr>
          <w:rFonts w:ascii="Arial" w:hAnsi="Arial" w:cs="Arial"/>
        </w:rPr>
        <w:t>heckliste internes Umfeld</w:t>
      </w:r>
    </w:p>
    <w:p w:rsidR="00BF4AB0" w:rsidRPr="005A5668" w:rsidRDefault="00BF4AB0" w:rsidP="00BF4AB0">
      <w:pPr>
        <w:rPr>
          <w:rFonts w:ascii="Arial" w:eastAsiaTheme="minorHAnsi" w:hAnsi="Arial" w:cs="Arial"/>
          <w:sz w:val="22"/>
        </w:rPr>
      </w:pPr>
      <w:r w:rsidRPr="005A5668">
        <w:rPr>
          <w:rFonts w:ascii="Arial" w:eastAsiaTheme="minorHAnsi" w:hAnsi="Arial" w:cs="Arial"/>
          <w:sz w:val="22"/>
        </w:rPr>
        <w:t>Die folgende Checkliste hilft, das interne Umfeld zu analysieren und fehlende bzw. unvollständige Positionen festzustellen. Sie ist jedoch weder allgemein gültig noch abschliessend. Je nach Gemeinde fallen einzelnen Positionen weg oder sind andere Positionen wichtig, um eine angemessene Risiko- und Kontrollkultur zu festigen.</w:t>
      </w:r>
    </w:p>
    <w:tbl>
      <w:tblPr>
        <w:tblStyle w:val="HelleListe-Akzent3"/>
        <w:tblW w:w="9203" w:type="dxa"/>
        <w:jc w:val="center"/>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3959"/>
        <w:gridCol w:w="1843"/>
        <w:gridCol w:w="1701"/>
        <w:gridCol w:w="1700"/>
      </w:tblGrid>
      <w:tr w:rsidR="008D605B" w:rsidRPr="008D605B" w:rsidTr="003710C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F4AB0" w:rsidRPr="008D605B" w:rsidRDefault="00BF4AB0" w:rsidP="00980863">
            <w:pPr>
              <w:spacing w:before="60" w:after="60"/>
              <w:jc w:val="left"/>
              <w:rPr>
                <w:rFonts w:ascii="Arial" w:hAnsi="Arial"/>
                <w:bCs w:val="0"/>
                <w:color w:val="auto"/>
              </w:rPr>
            </w:pPr>
            <w:r w:rsidRPr="008D605B">
              <w:rPr>
                <w:rFonts w:ascii="Arial" w:hAnsi="Arial"/>
                <w:bCs w:val="0"/>
                <w:color w:val="auto"/>
              </w:rPr>
              <w:t>Position</w:t>
            </w:r>
          </w:p>
        </w:tc>
        <w:tc>
          <w:tcPr>
            <w:tcW w:w="184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F4AB0" w:rsidRPr="008D605B" w:rsidRDefault="00BF4AB0" w:rsidP="00980863">
            <w:pPr>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bCs w:val="0"/>
                <w:color w:val="auto"/>
              </w:rPr>
            </w:pPr>
            <w:r w:rsidRPr="008D605B">
              <w:rPr>
                <w:rFonts w:ascii="Arial" w:hAnsi="Arial"/>
                <w:bCs w:val="0"/>
                <w:color w:val="auto"/>
              </w:rPr>
              <w:t>Vorhanden</w:t>
            </w:r>
            <w:r w:rsidRPr="008D605B">
              <w:rPr>
                <w:rFonts w:ascii="Arial" w:hAnsi="Arial"/>
                <w:bCs w:val="0"/>
                <w:color w:val="auto"/>
              </w:rPr>
              <w:br/>
              <w:t>(Ja, Nein,</w:t>
            </w:r>
            <w:r w:rsidRPr="008D605B">
              <w:rPr>
                <w:rFonts w:ascii="Arial" w:hAnsi="Arial"/>
                <w:bCs w:val="0"/>
                <w:color w:val="auto"/>
              </w:rPr>
              <w:br/>
              <w:t>Teilweise)</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F4AB0" w:rsidRPr="008D605B" w:rsidRDefault="00BF4AB0" w:rsidP="00980863">
            <w:pPr>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bCs w:val="0"/>
                <w:color w:val="auto"/>
              </w:rPr>
            </w:pPr>
            <w:r w:rsidRPr="008D605B">
              <w:rPr>
                <w:rFonts w:ascii="Arial" w:hAnsi="Arial"/>
                <w:bCs w:val="0"/>
                <w:color w:val="auto"/>
              </w:rPr>
              <w:t>Status</w:t>
            </w:r>
            <w:r w:rsidRPr="008D605B">
              <w:rPr>
                <w:rFonts w:ascii="Arial" w:hAnsi="Arial"/>
                <w:bCs w:val="0"/>
                <w:color w:val="auto"/>
              </w:rPr>
              <w:br/>
              <w:t>(In Arbeit,</w:t>
            </w:r>
            <w:r w:rsidRPr="008D605B">
              <w:rPr>
                <w:rFonts w:ascii="Arial" w:hAnsi="Arial"/>
                <w:bCs w:val="0"/>
                <w:color w:val="auto"/>
              </w:rPr>
              <w:br/>
              <w:t>Geplant)</w:t>
            </w:r>
          </w:p>
        </w:tc>
        <w:tc>
          <w:tcPr>
            <w:tcW w:w="17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F4AB0" w:rsidRPr="008D605B" w:rsidRDefault="00BF4AB0" w:rsidP="00980863">
            <w:pPr>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bCs w:val="0"/>
                <w:color w:val="auto"/>
              </w:rPr>
            </w:pPr>
            <w:r w:rsidRPr="008D605B">
              <w:rPr>
                <w:rFonts w:ascii="Arial" w:hAnsi="Arial"/>
                <w:bCs w:val="0"/>
                <w:color w:val="auto"/>
              </w:rPr>
              <w:t>Letzte</w:t>
            </w:r>
            <w:r w:rsidRPr="008D605B">
              <w:rPr>
                <w:rFonts w:ascii="Arial" w:hAnsi="Arial"/>
                <w:bCs w:val="0"/>
                <w:color w:val="auto"/>
              </w:rPr>
              <w:br/>
              <w:t>Version</w:t>
            </w:r>
            <w:r w:rsidRPr="008D605B">
              <w:rPr>
                <w:rFonts w:ascii="Arial" w:hAnsi="Arial"/>
                <w:bCs w:val="0"/>
                <w:color w:val="auto"/>
              </w:rPr>
              <w:br/>
              <w:t>(Datum)</w:t>
            </w: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Organigramm</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Pflichtenhefte</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Stellenbeschreibungen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Kompetenzordnung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Unterschriftenregelungen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BF4AB0">
            <w:pPr>
              <w:spacing w:before="60" w:after="60"/>
              <w:jc w:val="left"/>
              <w:rPr>
                <w:rFonts w:ascii="Arial" w:hAnsi="Arial"/>
                <w:b w:val="0"/>
                <w:bCs w:val="0"/>
              </w:rPr>
            </w:pPr>
            <w:r w:rsidRPr="005A5668">
              <w:rPr>
                <w:rFonts w:ascii="Arial" w:hAnsi="Arial"/>
                <w:b w:val="0"/>
                <w:bCs w:val="0"/>
              </w:rPr>
              <w:t>Richtlinien zur Personaleinstellung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Personalreglement</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Besoldungsreglement</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Rechnungsprüfungsorgan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732A76" w:rsidP="00980863">
            <w:pPr>
              <w:spacing w:before="60" w:after="60"/>
              <w:jc w:val="left"/>
              <w:rPr>
                <w:rFonts w:ascii="Arial" w:hAnsi="Arial"/>
                <w:b w:val="0"/>
                <w:bCs w:val="0"/>
              </w:rPr>
            </w:pPr>
            <w:r w:rsidRPr="005A5668">
              <w:rPr>
                <w:rFonts w:ascii="Arial" w:hAnsi="Arial"/>
                <w:b w:val="0"/>
                <w:bCs w:val="0"/>
              </w:rPr>
              <w:t>strategisches Controlling-Organ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732A76" w:rsidP="00980863">
            <w:pPr>
              <w:spacing w:before="60" w:after="60"/>
              <w:jc w:val="left"/>
              <w:rPr>
                <w:rFonts w:ascii="Arial" w:hAnsi="Arial"/>
                <w:b w:val="0"/>
                <w:bCs w:val="0"/>
              </w:rPr>
            </w:pPr>
            <w:r w:rsidRPr="005A5668">
              <w:rPr>
                <w:rFonts w:ascii="Arial" w:hAnsi="Arial"/>
                <w:b w:val="0"/>
                <w:bCs w:val="0"/>
              </w:rPr>
              <w:t>Gemeindestrategie</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732A76" w:rsidP="00980863">
            <w:pPr>
              <w:spacing w:before="60" w:after="60"/>
              <w:jc w:val="left"/>
              <w:rPr>
                <w:rFonts w:ascii="Arial" w:hAnsi="Arial"/>
                <w:b w:val="0"/>
                <w:bCs w:val="0"/>
              </w:rPr>
            </w:pPr>
            <w:proofErr w:type="spellStart"/>
            <w:r w:rsidRPr="005A5668">
              <w:rPr>
                <w:rFonts w:ascii="Arial" w:hAnsi="Arial"/>
                <w:b w:val="0"/>
                <w:bCs w:val="0"/>
              </w:rPr>
              <w:t>Legislaturprogramm</w:t>
            </w:r>
            <w:proofErr w:type="spellEnd"/>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732A76" w:rsidP="00980863">
            <w:pPr>
              <w:spacing w:before="60" w:after="60"/>
              <w:jc w:val="left"/>
              <w:rPr>
                <w:rFonts w:ascii="Arial" w:hAnsi="Arial"/>
                <w:b w:val="0"/>
                <w:bCs w:val="0"/>
              </w:rPr>
            </w:pPr>
            <w:r w:rsidRPr="005A5668">
              <w:rPr>
                <w:rFonts w:ascii="Arial" w:hAnsi="Arial"/>
                <w:b w:val="0"/>
                <w:bCs w:val="0"/>
              </w:rPr>
              <w:t>betrieblicher Leistungsauftrag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Finanzstrategie</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Aufgaben- und Finanzplan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732A76">
            <w:pPr>
              <w:spacing w:before="60" w:after="60"/>
              <w:jc w:val="left"/>
              <w:rPr>
                <w:rFonts w:ascii="Arial" w:hAnsi="Arial"/>
                <w:b w:val="0"/>
                <w:bCs w:val="0"/>
              </w:rPr>
            </w:pPr>
            <w:r w:rsidRPr="005A5668">
              <w:rPr>
                <w:rFonts w:ascii="Arial" w:hAnsi="Arial"/>
                <w:b w:val="0"/>
                <w:bCs w:val="0"/>
              </w:rPr>
              <w:t>Budget</w:t>
            </w:r>
            <w:r w:rsidR="00732A76" w:rsidRPr="005A5668">
              <w:rPr>
                <w:rFonts w:ascii="Arial" w:hAnsi="Arial"/>
                <w:b w:val="0"/>
                <w:bCs w:val="0"/>
              </w:rPr>
              <w:t xml:space="preserve"> mit politischem Leistungsauftrag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Zwischenabschlüsse</w:t>
            </w:r>
            <w:r w:rsidR="00732A76" w:rsidRPr="005A5668">
              <w:rPr>
                <w:rFonts w:ascii="Arial" w:hAnsi="Arial"/>
                <w:b w:val="0"/>
                <w:bCs w:val="0"/>
              </w:rPr>
              <w:t xml:space="preserve"> / Hochrechnung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Kosten- und Leistungsrechnung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Managementinformations-System</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proofErr w:type="spellStart"/>
            <w:r w:rsidRPr="005A5668">
              <w:rPr>
                <w:rFonts w:ascii="Arial" w:hAnsi="Arial"/>
                <w:b w:val="0"/>
                <w:bCs w:val="0"/>
              </w:rPr>
              <w:t>Führungsreporting</w:t>
            </w:r>
            <w:proofErr w:type="spellEnd"/>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Leistungsvereinbarungen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bookmarkStart w:id="0" w:name="MacroStartPosition"/>
            <w:bookmarkEnd w:id="0"/>
            <w:r w:rsidRPr="005A5668">
              <w:rPr>
                <w:rFonts w:ascii="Arial" w:hAnsi="Arial"/>
                <w:b w:val="0"/>
                <w:bCs w:val="0"/>
              </w:rPr>
              <w:t>IT-Strategie</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IT-Berechtigungskonzept</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IT-Notfallplanung</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IT-Handbuch</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Krisenmanagement</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Prozessdokumentationen</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r w:rsidR="00BF4AB0" w:rsidRPr="00BF4AB0" w:rsidTr="003710C5">
        <w:trPr>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Risikomanagement-Prozess</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bCs/>
              </w:rPr>
            </w:pPr>
          </w:p>
        </w:tc>
      </w:tr>
      <w:tr w:rsidR="00BF4AB0" w:rsidRPr="00BF4AB0" w:rsidTr="003710C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59" w:type="dxa"/>
            <w:tcBorders>
              <w:top w:val="single" w:sz="8" w:space="0" w:color="auto"/>
              <w:left w:val="single" w:sz="8" w:space="0" w:color="auto"/>
              <w:bottom w:val="single" w:sz="8" w:space="0" w:color="auto"/>
              <w:right w:val="single" w:sz="8" w:space="0" w:color="auto"/>
            </w:tcBorders>
          </w:tcPr>
          <w:p w:rsidR="00BF4AB0" w:rsidRPr="005A5668" w:rsidRDefault="00BF4AB0" w:rsidP="00980863">
            <w:pPr>
              <w:spacing w:before="60" w:after="60"/>
              <w:jc w:val="left"/>
              <w:rPr>
                <w:rFonts w:ascii="Arial" w:hAnsi="Arial"/>
                <w:b w:val="0"/>
                <w:bCs w:val="0"/>
              </w:rPr>
            </w:pPr>
            <w:r w:rsidRPr="005A5668">
              <w:rPr>
                <w:rFonts w:ascii="Arial" w:hAnsi="Arial"/>
                <w:b w:val="0"/>
                <w:bCs w:val="0"/>
              </w:rPr>
              <w:t>IKS-Prozess</w:t>
            </w:r>
          </w:p>
        </w:tc>
        <w:tc>
          <w:tcPr>
            <w:tcW w:w="1843"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1"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c>
          <w:tcPr>
            <w:tcW w:w="1700" w:type="dxa"/>
            <w:tcBorders>
              <w:top w:val="single" w:sz="8" w:space="0" w:color="auto"/>
              <w:left w:val="single" w:sz="8" w:space="0" w:color="auto"/>
              <w:bottom w:val="single" w:sz="8" w:space="0" w:color="auto"/>
              <w:right w:val="single" w:sz="8" w:space="0" w:color="auto"/>
            </w:tcBorders>
          </w:tcPr>
          <w:p w:rsidR="00BF4AB0" w:rsidRPr="00BF4AB0" w:rsidRDefault="00BF4AB0" w:rsidP="0098086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bCs/>
              </w:rPr>
            </w:pPr>
          </w:p>
        </w:tc>
      </w:tr>
    </w:tbl>
    <w:p w:rsidR="00B06EA1" w:rsidRPr="00BF4AB0" w:rsidRDefault="00B06EA1">
      <w:pPr>
        <w:rPr>
          <w:rFonts w:ascii="Arial" w:hAnsi="Arial" w:cs="Arial"/>
        </w:rPr>
      </w:pPr>
    </w:p>
    <w:sectPr w:rsidR="00B06EA1" w:rsidRPr="00BF4AB0" w:rsidSect="005A56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A5" w:rsidRDefault="00143DA5" w:rsidP="00B75EF8">
      <w:pPr>
        <w:spacing w:after="0"/>
      </w:pPr>
      <w:r>
        <w:separator/>
      </w:r>
    </w:p>
    <w:p w:rsidR="00143DA5" w:rsidRDefault="00143DA5"/>
  </w:endnote>
  <w:endnote w:type="continuationSeparator" w:id="0">
    <w:p w:rsidR="00143DA5" w:rsidRDefault="00143DA5" w:rsidP="00B75EF8">
      <w:pPr>
        <w:spacing w:after="0"/>
      </w:pPr>
      <w:r>
        <w:continuationSeparator/>
      </w:r>
    </w:p>
    <w:p w:rsidR="00143DA5" w:rsidRDefault="0014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B9" w:rsidRDefault="00BB0D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A5668" w:rsidRDefault="005A5668" w:rsidP="005A5668">
    <w:pPr>
      <w:pStyle w:val="Fuzeile"/>
      <w:rPr>
        <w:rFonts w:ascii="Arial" w:hAnsi="Arial" w:cs="Arial"/>
        <w:sz w:val="20"/>
        <w:szCs w:val="20"/>
      </w:rPr>
    </w:pPr>
    <w:r w:rsidRPr="005A5668">
      <w:rPr>
        <w:rFonts w:ascii="Arial" w:hAnsi="Arial" w:cs="Arial"/>
        <w:sz w:val="20"/>
        <w:szCs w:val="20"/>
      </w:rPr>
      <w:t>Status: Version 1.0 (Stand 23.02.2018)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B9" w:rsidRDefault="00BB0D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A5" w:rsidRDefault="00143DA5" w:rsidP="00B75EF8">
      <w:pPr>
        <w:spacing w:after="0"/>
      </w:pPr>
      <w:r>
        <w:separator/>
      </w:r>
    </w:p>
    <w:p w:rsidR="00143DA5" w:rsidRDefault="00143DA5"/>
  </w:footnote>
  <w:footnote w:type="continuationSeparator" w:id="0">
    <w:p w:rsidR="00143DA5" w:rsidRDefault="00143DA5" w:rsidP="00B75EF8">
      <w:pPr>
        <w:spacing w:after="0"/>
      </w:pPr>
      <w:r>
        <w:continuationSeparator/>
      </w:r>
    </w:p>
    <w:p w:rsidR="00143DA5" w:rsidRDefault="00143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B9" w:rsidRDefault="00BB0D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68" w:rsidRPr="005A5668" w:rsidRDefault="005A5668" w:rsidP="005A5668">
    <w:pPr>
      <w:pStyle w:val="Kopfzeile"/>
      <w:pBdr>
        <w:bottom w:val="single" w:sz="4" w:space="1" w:color="auto"/>
      </w:pBdr>
      <w:rPr>
        <w:rFonts w:ascii="Arial" w:hAnsi="Arial" w:cs="Arial"/>
        <w:b/>
        <w:sz w:val="20"/>
        <w:szCs w:val="20"/>
      </w:rPr>
    </w:pPr>
    <w:r w:rsidRPr="005A5668">
      <w:rPr>
        <w:rFonts w:ascii="Arial" w:hAnsi="Arial" w:cs="Arial"/>
        <w:sz w:val="20"/>
        <w:szCs w:val="20"/>
      </w:rPr>
      <w:t xml:space="preserve">Finanzdepartement </w:t>
    </w:r>
    <w:r w:rsidRPr="005A5668">
      <w:rPr>
        <w:rFonts w:ascii="Arial" w:hAnsi="Arial" w:cs="Arial"/>
        <w:sz w:val="20"/>
        <w:szCs w:val="20"/>
      </w:rPr>
      <w:tab/>
    </w:r>
    <w:r w:rsidRPr="005A5668">
      <w:rPr>
        <w:rFonts w:ascii="Arial" w:hAnsi="Arial" w:cs="Arial"/>
        <w:sz w:val="20"/>
        <w:szCs w:val="20"/>
      </w:rPr>
      <w:tab/>
      <w:t>Handbuch Finanzhaushalt der Gemeinden</w:t>
    </w:r>
  </w:p>
  <w:p w:rsidR="005A5668" w:rsidRPr="005A5668" w:rsidRDefault="005A5668" w:rsidP="005A5668">
    <w:pPr>
      <w:pStyle w:val="Kopfzeile"/>
      <w:pBdr>
        <w:bottom w:val="single" w:sz="4" w:space="1" w:color="auto"/>
      </w:pBdr>
      <w:tabs>
        <w:tab w:val="clear" w:pos="4536"/>
      </w:tabs>
      <w:rPr>
        <w:rFonts w:ascii="Arial" w:hAnsi="Arial" w:cs="Arial"/>
        <w:b/>
        <w:sz w:val="20"/>
        <w:szCs w:val="20"/>
      </w:rPr>
    </w:pPr>
    <w:r w:rsidRPr="005A5668">
      <w:rPr>
        <w:rFonts w:ascii="Arial" w:hAnsi="Arial" w:cs="Arial"/>
        <w:sz w:val="20"/>
        <w:szCs w:val="20"/>
      </w:rPr>
      <w:tab/>
    </w:r>
    <w:r w:rsidRPr="005A5668">
      <w:rPr>
        <w:rFonts w:ascii="Arial" w:hAnsi="Arial" w:cs="Arial"/>
        <w:b/>
        <w:sz w:val="20"/>
        <w:szCs w:val="20"/>
      </w:rPr>
      <w:t xml:space="preserve">Risikomanagement / IKS, </w:t>
    </w:r>
    <w:r w:rsidR="00BB0DB9">
      <w:rPr>
        <w:rFonts w:ascii="Arial" w:hAnsi="Arial" w:cs="Arial"/>
        <w:b/>
        <w:sz w:val="20"/>
        <w:szCs w:val="20"/>
      </w:rPr>
      <w:t xml:space="preserve">Checkliste </w:t>
    </w:r>
    <w:r>
      <w:rPr>
        <w:rFonts w:ascii="Arial" w:hAnsi="Arial" w:cs="Arial"/>
        <w:b/>
        <w:sz w:val="20"/>
        <w:szCs w:val="20"/>
      </w:rPr>
      <w:t>Internes Umfeld</w:t>
    </w:r>
    <w:r w:rsidRPr="005A5668">
      <w:rPr>
        <w:rFonts w:ascii="Arial" w:hAnsi="Arial" w:cs="Arial"/>
        <w:b/>
        <w:sz w:val="20"/>
        <w:szCs w:val="20"/>
      </w:rPr>
      <w:t xml:space="preserve"> - </w:t>
    </w:r>
    <w:r w:rsidR="00BB0DB9">
      <w:rPr>
        <w:rFonts w:ascii="Arial" w:hAnsi="Arial" w:cs="Arial"/>
        <w:b/>
        <w:sz w:val="20"/>
        <w:szCs w:val="20"/>
      </w:rPr>
      <w:t>Vorlage</w:t>
    </w:r>
    <w:bookmarkStart w:id="1" w:name="_GoBack"/>
    <w:bookmarkEnd w:id="1"/>
  </w:p>
  <w:p w:rsidR="00000000" w:rsidRDefault="00143DA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B9" w:rsidRDefault="00BB0D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B35AD"/>
    <w:multiLevelType w:val="multilevel"/>
    <w:tmpl w:val="5302D308"/>
    <w:lvl w:ilvl="0">
      <w:start w:val="2"/>
      <w:numFmt w:val="decimal"/>
      <w:pStyle w:val="berschrift1"/>
      <w:lvlText w:val="%1"/>
      <w:lvlJc w:val="left"/>
      <w:pPr>
        <w:ind w:left="794" w:hanging="794"/>
      </w:pPr>
      <w:rPr>
        <w:rFonts w:asciiTheme="majorHAnsi" w:hAnsiTheme="majorHAnsi" w:hint="default"/>
        <w:b/>
        <w:i w:val="0"/>
        <w:sz w:val="36"/>
      </w:rPr>
    </w:lvl>
    <w:lvl w:ilvl="1">
      <w:start w:val="1"/>
      <w:numFmt w:val="decimal"/>
      <w:pStyle w:val="berschrift2"/>
      <w:lvlText w:val="%1.%2"/>
      <w:lvlJc w:val="left"/>
      <w:pPr>
        <w:ind w:left="794" w:hanging="794"/>
      </w:pPr>
      <w:rPr>
        <w:rFonts w:asciiTheme="majorHAnsi" w:hAnsiTheme="majorHAnsi" w:hint="default"/>
        <w:b/>
        <w:i w:val="0"/>
        <w:sz w:val="32"/>
      </w:rPr>
    </w:lvl>
    <w:lvl w:ilvl="2">
      <w:start w:val="1"/>
      <w:numFmt w:val="decimal"/>
      <w:pStyle w:val="berschrift3"/>
      <w:lvlText w:val="%1.%2.%3"/>
      <w:lvlJc w:val="left"/>
      <w:pPr>
        <w:ind w:left="794" w:hanging="794"/>
      </w:pPr>
      <w:rPr>
        <w:rFonts w:asciiTheme="majorHAnsi" w:hAnsiTheme="majorHAnsi" w:hint="default"/>
        <w:b/>
        <w:i w:val="0"/>
        <w:sz w:val="28"/>
      </w:rPr>
    </w:lvl>
    <w:lvl w:ilvl="3">
      <w:start w:val="1"/>
      <w:numFmt w:val="decimal"/>
      <w:pStyle w:val="berschrift4"/>
      <w:lvlText w:val="%1.%2.%3.%4"/>
      <w:lvlJc w:val="left"/>
      <w:pPr>
        <w:ind w:left="6323" w:hanging="794"/>
      </w:pPr>
      <w:rPr>
        <w:rFonts w:asciiTheme="majorHAnsi" w:hAnsiTheme="majorHAnsi" w:hint="default"/>
        <w:b/>
        <w:i w:val="0"/>
        <w:sz w:val="24"/>
      </w:rPr>
    </w:lvl>
    <w:lvl w:ilvl="4">
      <w:start w:val="1"/>
      <w:numFmt w:val="decimal"/>
      <w:pStyle w:val="berschrift5"/>
      <w:lvlText w:val="%1.%2.%3.%4.%5"/>
      <w:lvlJc w:val="left"/>
      <w:pPr>
        <w:ind w:left="1134" w:hanging="1134"/>
      </w:pPr>
      <w:rPr>
        <w:rFonts w:asciiTheme="majorHAnsi" w:hAnsiTheme="majorHAnsi" w:hint="default"/>
        <w:b/>
        <w:i w:val="0"/>
        <w:sz w:val="24"/>
      </w:rPr>
    </w:lvl>
    <w:lvl w:ilvl="5">
      <w:start w:val="1"/>
      <w:numFmt w:val="decimal"/>
      <w:pStyle w:val="berschrift6"/>
      <w:lvlText w:val="%1.%2.%3.%4.%5.%6"/>
      <w:lvlJc w:val="left"/>
      <w:pPr>
        <w:ind w:left="1134" w:hanging="1134"/>
      </w:pPr>
      <w:rPr>
        <w:rFonts w:asciiTheme="majorHAnsi" w:hAnsiTheme="majorHAnsi"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B0"/>
    <w:rsid w:val="000465F9"/>
    <w:rsid w:val="00143DA5"/>
    <w:rsid w:val="001B4B94"/>
    <w:rsid w:val="00297CFB"/>
    <w:rsid w:val="002A6655"/>
    <w:rsid w:val="00362F89"/>
    <w:rsid w:val="003664C2"/>
    <w:rsid w:val="003710C5"/>
    <w:rsid w:val="003826C2"/>
    <w:rsid w:val="003E726B"/>
    <w:rsid w:val="005A5668"/>
    <w:rsid w:val="005B6B67"/>
    <w:rsid w:val="007147D8"/>
    <w:rsid w:val="00732A76"/>
    <w:rsid w:val="008D605B"/>
    <w:rsid w:val="00B06EA1"/>
    <w:rsid w:val="00B75EF8"/>
    <w:rsid w:val="00BB0DB9"/>
    <w:rsid w:val="00BF4AB0"/>
    <w:rsid w:val="00C76C20"/>
    <w:rsid w:val="00E47895"/>
    <w:rsid w:val="00F3168D"/>
    <w:rsid w:val="00F807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F2EC5"/>
  <w15:chartTrackingRefBased/>
  <w15:docId w15:val="{0ECC50A2-90B8-4E90-A47C-5136E62E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1"/>
        <w:szCs w:val="21"/>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AB0"/>
    <w:pPr>
      <w:spacing w:after="120"/>
      <w:jc w:val="both"/>
    </w:pPr>
    <w:rPr>
      <w:rFonts w:ascii="Garamond" w:eastAsiaTheme="minorEastAsia" w:hAnsi="Garamond"/>
      <w:szCs w:val="22"/>
    </w:rPr>
  </w:style>
  <w:style w:type="paragraph" w:styleId="berschrift1">
    <w:name w:val="heading 1"/>
    <w:basedOn w:val="Standard"/>
    <w:next w:val="Standard"/>
    <w:link w:val="berschrift1Zchn"/>
    <w:uiPriority w:val="9"/>
    <w:qFormat/>
    <w:rsid w:val="00BF4AB0"/>
    <w:pPr>
      <w:keepNext/>
      <w:keepLines/>
      <w:pageBreakBefore/>
      <w:numPr>
        <w:numId w:val="1"/>
      </w:numPr>
      <w:suppressAutoHyphens/>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BF4AB0"/>
    <w:pPr>
      <w:keepNext/>
      <w:keepLines/>
      <w:numPr>
        <w:ilvl w:val="1"/>
        <w:numId w:val="1"/>
      </w:numPr>
      <w:suppressAutoHyphens/>
      <w:spacing w:before="360"/>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BF4AB0"/>
    <w:pPr>
      <w:keepNext/>
      <w:keepLines/>
      <w:numPr>
        <w:ilvl w:val="2"/>
        <w:numId w:val="1"/>
      </w:numPr>
      <w:suppressAutoHyphens/>
      <w:spacing w:before="240"/>
      <w:ind w:left="851" w:hanging="851"/>
      <w:jc w:val="lef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F4AB0"/>
    <w:pPr>
      <w:keepNext/>
      <w:keepLines/>
      <w:numPr>
        <w:ilvl w:val="3"/>
        <w:numId w:val="1"/>
      </w:numPr>
      <w:suppressAutoHyphens/>
      <w:spacing w:before="240"/>
      <w:ind w:left="851" w:hanging="851"/>
      <w:jc w:val="left"/>
      <w:outlineLvl w:val="3"/>
    </w:pPr>
    <w:rPr>
      <w:rFonts w:eastAsiaTheme="majorEastAsia" w:cstheme="majorBidi"/>
      <w:b/>
      <w:bCs/>
      <w:iCs/>
      <w:sz w:val="24"/>
    </w:rPr>
  </w:style>
  <w:style w:type="paragraph" w:styleId="berschrift5">
    <w:name w:val="heading 5"/>
    <w:basedOn w:val="Standard"/>
    <w:next w:val="Standard"/>
    <w:link w:val="berschrift5Zchn"/>
    <w:uiPriority w:val="9"/>
    <w:unhideWhenUsed/>
    <w:qFormat/>
    <w:rsid w:val="00BF4AB0"/>
    <w:pPr>
      <w:keepNext/>
      <w:keepLines/>
      <w:numPr>
        <w:ilvl w:val="4"/>
        <w:numId w:val="1"/>
      </w:numPr>
      <w:suppressAutoHyphens/>
      <w:spacing w:before="240"/>
      <w:jc w:val="left"/>
      <w:outlineLvl w:val="4"/>
    </w:pPr>
    <w:rPr>
      <w:rFonts w:eastAsiaTheme="majorEastAsia" w:cstheme="majorBidi"/>
      <w:b/>
      <w:sz w:val="22"/>
    </w:rPr>
  </w:style>
  <w:style w:type="paragraph" w:styleId="berschrift6">
    <w:name w:val="heading 6"/>
    <w:basedOn w:val="Standard"/>
    <w:next w:val="Standard"/>
    <w:link w:val="berschrift6Zchn"/>
    <w:uiPriority w:val="9"/>
    <w:unhideWhenUsed/>
    <w:qFormat/>
    <w:rsid w:val="00BF4AB0"/>
    <w:pPr>
      <w:keepNext/>
      <w:keepLines/>
      <w:numPr>
        <w:ilvl w:val="5"/>
        <w:numId w:val="1"/>
      </w:numPr>
      <w:suppressAutoHyphens/>
      <w:spacing w:before="240"/>
      <w:jc w:val="left"/>
      <w:outlineLvl w:val="5"/>
    </w:pPr>
    <w:rPr>
      <w:rFonts w:eastAsiaTheme="majorEastAsia" w:cstheme="majorBidi"/>
      <w:b/>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rsid w:val="00362F89"/>
    <w:tblPr>
      <w:tblInd w:w="-57" w:type="dxa"/>
      <w:tblCellMar>
        <w:left w:w="57" w:type="dxa"/>
        <w:right w:w="57" w:type="dxa"/>
      </w:tblCellMar>
    </w:tblPr>
  </w:style>
  <w:style w:type="character" w:customStyle="1" w:styleId="berschrift1Zchn">
    <w:name w:val="Überschrift 1 Zchn"/>
    <w:basedOn w:val="Absatz-Standardschriftart"/>
    <w:link w:val="berschrift1"/>
    <w:uiPriority w:val="9"/>
    <w:rsid w:val="00BF4AB0"/>
    <w:rPr>
      <w:rFonts w:ascii="Garamond" w:eastAsiaTheme="majorEastAsia" w:hAnsi="Garamond" w:cstheme="majorBidi"/>
      <w:b/>
      <w:bCs/>
      <w:sz w:val="32"/>
      <w:szCs w:val="28"/>
    </w:rPr>
  </w:style>
  <w:style w:type="character" w:customStyle="1" w:styleId="berschrift2Zchn">
    <w:name w:val="Überschrift 2 Zchn"/>
    <w:basedOn w:val="Absatz-Standardschriftart"/>
    <w:link w:val="berschrift2"/>
    <w:uiPriority w:val="9"/>
    <w:rsid w:val="00BF4AB0"/>
    <w:rPr>
      <w:rFonts w:ascii="Garamond" w:eastAsiaTheme="majorEastAsia" w:hAnsi="Garamond" w:cstheme="majorBidi"/>
      <w:b/>
      <w:bCs/>
      <w:sz w:val="28"/>
      <w:szCs w:val="26"/>
    </w:rPr>
  </w:style>
  <w:style w:type="character" w:customStyle="1" w:styleId="berschrift3Zchn">
    <w:name w:val="Überschrift 3 Zchn"/>
    <w:basedOn w:val="Absatz-Standardschriftart"/>
    <w:link w:val="berschrift3"/>
    <w:uiPriority w:val="9"/>
    <w:rsid w:val="00BF4AB0"/>
    <w:rPr>
      <w:rFonts w:ascii="Garamond" w:eastAsiaTheme="majorEastAsia" w:hAnsi="Garamond" w:cstheme="majorBidi"/>
      <w:b/>
      <w:bCs/>
      <w:sz w:val="24"/>
      <w:szCs w:val="22"/>
    </w:rPr>
  </w:style>
  <w:style w:type="character" w:customStyle="1" w:styleId="berschrift4Zchn">
    <w:name w:val="Überschrift 4 Zchn"/>
    <w:basedOn w:val="Absatz-Standardschriftart"/>
    <w:link w:val="berschrift4"/>
    <w:uiPriority w:val="9"/>
    <w:rsid w:val="00BF4AB0"/>
    <w:rPr>
      <w:rFonts w:ascii="Garamond" w:eastAsiaTheme="majorEastAsia" w:hAnsi="Garamond" w:cstheme="majorBidi"/>
      <w:b/>
      <w:bCs/>
      <w:iCs/>
      <w:sz w:val="24"/>
      <w:szCs w:val="22"/>
    </w:rPr>
  </w:style>
  <w:style w:type="character" w:customStyle="1" w:styleId="berschrift5Zchn">
    <w:name w:val="Überschrift 5 Zchn"/>
    <w:basedOn w:val="Absatz-Standardschriftart"/>
    <w:link w:val="berschrift5"/>
    <w:uiPriority w:val="9"/>
    <w:rsid w:val="00BF4AB0"/>
    <w:rPr>
      <w:rFonts w:ascii="Garamond" w:eastAsiaTheme="majorEastAsia" w:hAnsi="Garamond" w:cstheme="majorBidi"/>
      <w:b/>
      <w:sz w:val="22"/>
      <w:szCs w:val="22"/>
    </w:rPr>
  </w:style>
  <w:style w:type="character" w:customStyle="1" w:styleId="berschrift6Zchn">
    <w:name w:val="Überschrift 6 Zchn"/>
    <w:basedOn w:val="Absatz-Standardschriftart"/>
    <w:link w:val="berschrift6"/>
    <w:uiPriority w:val="9"/>
    <w:rsid w:val="00BF4AB0"/>
    <w:rPr>
      <w:rFonts w:ascii="Garamond" w:eastAsiaTheme="majorEastAsia" w:hAnsi="Garamond" w:cstheme="majorBidi"/>
      <w:b/>
      <w:iCs/>
      <w:sz w:val="22"/>
      <w:szCs w:val="22"/>
    </w:rPr>
  </w:style>
  <w:style w:type="table" w:styleId="HelleListe-Akzent3">
    <w:name w:val="Light List Accent 3"/>
    <w:basedOn w:val="NormaleTabelle"/>
    <w:uiPriority w:val="61"/>
    <w:rsid w:val="00BF4AB0"/>
    <w:rPr>
      <w:rFonts w:ascii="Arial" w:hAnsi="Arial" w:cs="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fzeile">
    <w:name w:val="header"/>
    <w:basedOn w:val="Standard"/>
    <w:link w:val="KopfzeileZchn"/>
    <w:uiPriority w:val="99"/>
    <w:unhideWhenUsed/>
    <w:rsid w:val="00B75EF8"/>
    <w:pPr>
      <w:tabs>
        <w:tab w:val="center" w:pos="4536"/>
        <w:tab w:val="right" w:pos="9072"/>
      </w:tabs>
      <w:spacing w:after="0"/>
    </w:pPr>
  </w:style>
  <w:style w:type="character" w:customStyle="1" w:styleId="KopfzeileZchn">
    <w:name w:val="Kopfzeile Zchn"/>
    <w:basedOn w:val="Absatz-Standardschriftart"/>
    <w:link w:val="Kopfzeile"/>
    <w:uiPriority w:val="99"/>
    <w:rsid w:val="00B75EF8"/>
    <w:rPr>
      <w:rFonts w:ascii="Garamond" w:eastAsiaTheme="minorEastAsia" w:hAnsi="Garamond"/>
      <w:szCs w:val="22"/>
    </w:rPr>
  </w:style>
  <w:style w:type="paragraph" w:styleId="Fuzeile">
    <w:name w:val="footer"/>
    <w:basedOn w:val="Standard"/>
    <w:link w:val="FuzeileZchn"/>
    <w:uiPriority w:val="99"/>
    <w:unhideWhenUsed/>
    <w:rsid w:val="00B75EF8"/>
    <w:pPr>
      <w:tabs>
        <w:tab w:val="center" w:pos="4536"/>
        <w:tab w:val="right" w:pos="9072"/>
      </w:tabs>
      <w:spacing w:after="0"/>
    </w:pPr>
  </w:style>
  <w:style w:type="character" w:customStyle="1" w:styleId="FuzeileZchn">
    <w:name w:val="Fußzeile Zchn"/>
    <w:basedOn w:val="Absatz-Standardschriftart"/>
    <w:link w:val="Fuzeile"/>
    <w:uiPriority w:val="99"/>
    <w:rsid w:val="00B75EF8"/>
    <w:rPr>
      <w:rFonts w:ascii="Garamond" w:eastAsiaTheme="minorEastAsia" w:hAnsi="Garamond"/>
      <w:szCs w:val="22"/>
    </w:rPr>
  </w:style>
  <w:style w:type="paragraph" w:styleId="Sprechblasentext">
    <w:name w:val="Balloon Text"/>
    <w:basedOn w:val="Standard"/>
    <w:link w:val="SprechblasentextZchn"/>
    <w:uiPriority w:val="99"/>
    <w:semiHidden/>
    <w:unhideWhenUsed/>
    <w:rsid w:val="00732A7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A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58FE-51E2-4511-9ADC-5A2E373C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IT Services Hochschule Luzern</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Henrizi Philipp HSLU W</dc:creator>
  <cp:keywords/>
  <dc:description/>
  <cp:lastModifiedBy>Burkhardt Dorothea</cp:lastModifiedBy>
  <cp:revision>4</cp:revision>
  <dcterms:created xsi:type="dcterms:W3CDTF">2018-03-01T15:25:00Z</dcterms:created>
  <dcterms:modified xsi:type="dcterms:W3CDTF">2018-03-01T15:40:00Z</dcterms:modified>
</cp:coreProperties>
</file>